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adjustRightInd w:val="0"/>
        <w:snapToGrid w:val="0"/>
        <w:spacing w:line="570" w:lineRule="exact"/>
        <w:rPr>
          <w:rFonts w:hint="eastAsia" w:eastAsia="方正仿宋_GBK"/>
          <w:color w:val="000000"/>
          <w:kern w:val="2"/>
          <w:sz w:val="32"/>
          <w:szCs w:val="32"/>
          <w:lang w:eastAsia="zh-CN"/>
        </w:rPr>
      </w:pPr>
      <w:bookmarkStart w:id="1" w:name="_GoBack"/>
      <w:r>
        <w:rPr>
          <w:rFonts w:hint="eastAsia" w:eastAsia="方正仿宋_GBK"/>
          <w:color w:val="000000"/>
          <w:kern w:val="2"/>
          <w:sz w:val="32"/>
          <w:szCs w:val="32"/>
          <w:lang w:eastAsia="zh-CN"/>
        </w:rPr>
        <w:t>附件4</w:t>
      </w:r>
    </w:p>
    <w:p>
      <w:pPr>
        <w:suppressAutoHyphens w:val="0"/>
        <w:adjustRightInd w:val="0"/>
        <w:snapToGrid w:val="0"/>
        <w:spacing w:line="570" w:lineRule="exact"/>
        <w:rPr>
          <w:rFonts w:hint="eastAsia" w:eastAsia="方正仿宋_GBK"/>
          <w:color w:val="000000"/>
          <w:kern w:val="2"/>
          <w:sz w:val="32"/>
          <w:szCs w:val="32"/>
          <w:lang w:eastAsia="zh-CN"/>
        </w:rPr>
      </w:pPr>
    </w:p>
    <w:p>
      <w:pPr>
        <w:suppressAutoHyphens w:val="0"/>
        <w:adjustRightInd w:val="0"/>
        <w:snapToGrid w:val="0"/>
        <w:spacing w:line="570" w:lineRule="exact"/>
        <w:jc w:val="center"/>
        <w:rPr>
          <w:rFonts w:hint="eastAsia" w:ascii="方正小标宋_GBK" w:eastAsia="方正小标宋_GBK"/>
          <w:color w:val="000000"/>
          <w:kern w:val="2"/>
          <w:sz w:val="44"/>
          <w:szCs w:val="44"/>
          <w:lang w:eastAsia="zh-CN"/>
        </w:rPr>
      </w:pPr>
      <w:r>
        <w:rPr>
          <w:rFonts w:hint="eastAsia" w:ascii="方正小标宋_GBK" w:eastAsia="方正小标宋_GBK"/>
          <w:color w:val="000000"/>
          <w:kern w:val="2"/>
          <w:sz w:val="44"/>
          <w:szCs w:val="44"/>
          <w:lang w:eastAsia="zh-CN"/>
        </w:rPr>
        <w:t>广西壮族自治区取消的证明材料清单</w:t>
      </w:r>
    </w:p>
    <w:p>
      <w:pPr>
        <w:suppressAutoHyphens w:val="0"/>
        <w:adjustRightInd w:val="0"/>
        <w:snapToGrid w:val="0"/>
        <w:spacing w:line="570" w:lineRule="exact"/>
        <w:jc w:val="center"/>
        <w:rPr>
          <w:rFonts w:hint="eastAsia" w:ascii="方正楷体_GBK" w:eastAsia="方正楷体_GBK"/>
          <w:color w:val="000000"/>
          <w:kern w:val="2"/>
          <w:sz w:val="32"/>
          <w:szCs w:val="32"/>
          <w:lang w:eastAsia="zh-CN"/>
        </w:rPr>
      </w:pPr>
      <w:r>
        <w:rPr>
          <w:rFonts w:hint="eastAsia" w:ascii="方正楷体_GBK" w:eastAsia="方正楷体_GBK"/>
          <w:color w:val="000000"/>
          <w:kern w:val="2"/>
          <w:sz w:val="32"/>
          <w:szCs w:val="32"/>
          <w:lang w:eastAsia="zh-CN"/>
        </w:rPr>
        <w:t>（乡级）</w:t>
      </w:r>
    </w:p>
    <w:bookmarkEnd w:id="1"/>
    <w:p>
      <w:pPr>
        <w:suppressAutoHyphens w:val="0"/>
        <w:adjustRightInd w:val="0"/>
        <w:snapToGrid w:val="0"/>
        <w:spacing w:line="570" w:lineRule="exact"/>
        <w:rPr>
          <w:rFonts w:hint="eastAsia" w:eastAsia="方正仿宋_GBK"/>
          <w:color w:val="000000"/>
          <w:kern w:val="2"/>
          <w:sz w:val="32"/>
          <w:szCs w:val="32"/>
          <w:lang w:eastAsia="zh-CN"/>
        </w:rPr>
      </w:pPr>
    </w:p>
    <w:tbl>
      <w:tblPr>
        <w:tblStyle w:val="2"/>
        <w:tblW w:w="9237"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641"/>
        <w:gridCol w:w="1906"/>
        <w:gridCol w:w="1171"/>
        <w:gridCol w:w="1596"/>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bookmarkStart w:id="0" w:name="RANGE!A3:F61"/>
            <w:r>
              <w:rPr>
                <w:rFonts w:hint="eastAsia" w:ascii="方正黑体_GBK" w:eastAsia="方正黑体_GBK" w:cs="宋体"/>
                <w:color w:val="000000"/>
                <w:kern w:val="2"/>
                <w:sz w:val="24"/>
                <w:lang w:eastAsia="zh-CN"/>
              </w:rPr>
              <w:t>序号</w:t>
            </w:r>
            <w:bookmarkEnd w:id="0"/>
          </w:p>
        </w:tc>
        <w:tc>
          <w:tcPr>
            <w:tcW w:w="1641" w:type="dxa"/>
            <w:noWrap w:val="0"/>
            <w:tcMar>
              <w:top w:w="28" w:type="dxa"/>
              <w:left w:w="28" w:type="dxa"/>
              <w:bottom w:w="28" w:type="dxa"/>
              <w:right w:w="28"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证明材料</w:t>
            </w:r>
          </w:p>
        </w:tc>
        <w:tc>
          <w:tcPr>
            <w:tcW w:w="1906" w:type="dxa"/>
            <w:noWrap w:val="0"/>
            <w:tcMar>
              <w:top w:w="28" w:type="dxa"/>
              <w:left w:w="28" w:type="dxa"/>
              <w:bottom w:w="28" w:type="dxa"/>
              <w:right w:w="28"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涉及的办事事项</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证明索要单位</w:t>
            </w:r>
          </w:p>
        </w:tc>
        <w:tc>
          <w:tcPr>
            <w:tcW w:w="1596" w:type="dxa"/>
            <w:noWrap w:val="0"/>
            <w:tcMar>
              <w:top w:w="28" w:type="dxa"/>
              <w:left w:w="28" w:type="dxa"/>
              <w:bottom w:w="28" w:type="dxa"/>
              <w:right w:w="28"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证明开具单位</w:t>
            </w:r>
          </w:p>
        </w:tc>
        <w:tc>
          <w:tcPr>
            <w:tcW w:w="2335" w:type="dxa"/>
            <w:noWrap w:val="0"/>
            <w:tcMar>
              <w:top w:w="28" w:type="dxa"/>
              <w:left w:w="28" w:type="dxa"/>
              <w:bottom w:w="28" w:type="dxa"/>
              <w:right w:w="28" w:type="dxa"/>
            </w:tcMar>
            <w:vAlign w:val="center"/>
          </w:tcPr>
          <w:p>
            <w:pPr>
              <w:widowControl/>
              <w:suppressAutoHyphens w:val="0"/>
              <w:spacing w:line="380" w:lineRule="exact"/>
              <w:jc w:val="center"/>
              <w:rPr>
                <w:rFonts w:hint="eastAsia" w:ascii="方正黑体_GBK" w:eastAsia="方正黑体_GBK" w:cs="宋体"/>
                <w:color w:val="000000"/>
                <w:kern w:val="2"/>
                <w:sz w:val="24"/>
                <w:lang w:eastAsia="zh-CN"/>
              </w:rPr>
            </w:pPr>
            <w:r>
              <w:rPr>
                <w:rFonts w:hint="eastAsia" w:ascii="方正黑体_GBK" w:eastAsia="方正黑体_GBK" w:cs="宋体"/>
                <w:color w:val="000000"/>
                <w:kern w:val="2"/>
                <w:sz w:val="24"/>
                <w:lang w:eastAsia="zh-CN"/>
              </w:rPr>
              <w:t>取消后的办理方式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收入证明</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申请人所在工作单位</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户口注销、失踪、死亡证明</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诊断证明、病历、残疾证明</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残联、医疗机构</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贫困户证明</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扶贫部门</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家庭困难证明</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6</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最低生活保障审查意见</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乡镇人民政府（街道办事处）、村（居）民委员会</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7</w:t>
            </w:r>
          </w:p>
        </w:tc>
        <w:tc>
          <w:tcPr>
            <w:tcW w:w="1641"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社保证明</w:t>
            </w:r>
          </w:p>
        </w:tc>
        <w:tc>
          <w:tcPr>
            <w:tcW w:w="190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8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人力资源和社会保障部门、医疗保障部门、税务部门</w:t>
            </w:r>
          </w:p>
        </w:tc>
        <w:tc>
          <w:tcPr>
            <w:tcW w:w="2335" w:type="dxa"/>
            <w:noWrap w:val="0"/>
            <w:tcMar>
              <w:top w:w="28" w:type="dxa"/>
              <w:left w:w="28" w:type="dxa"/>
              <w:bottom w:w="28" w:type="dxa"/>
              <w:right w:w="28" w:type="dxa"/>
            </w:tcMar>
            <w:vAlign w:val="center"/>
          </w:tcPr>
          <w:p>
            <w:pPr>
              <w:widowControl/>
              <w:suppressAutoHyphens w:val="0"/>
              <w:spacing w:line="38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8</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在校生证明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9</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疾病证明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10</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学生身份证明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学校</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11</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返贫户证明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扶贫部门</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12</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无机动车辆、船舶证明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公安机关、交通运输部门、村（居）民委员会</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13</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无房产证明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自然资源部门、村（居）民委员会</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14</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贫困证明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扶贫部门</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15</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火灾出警证明原件</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消防部门</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16</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交通事故证明原件</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17</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疾病证明原件</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18</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居住证明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19</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临时救助审查意见</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乡镇人民政府（街道办事处）</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20</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疾病诊断证明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21</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收入及财产证明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22</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遭遇灾害、意外事故等情形的证明材料</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23</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父（母）死亡（失踪）证明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特困人员供养金给付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24</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在校证明原件</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特困人员供养金给付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教育部门、学校</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25</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无赡养、扶养、抚养能力证明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特困人员供养金给付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26</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残疾证明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特困人员供养金给付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残联</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27</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低保对象、特困人员死亡证明原件</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特困人员核销</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公安机关、卫生健康部门</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28</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低保对象、特困人员户口注销单</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特困人员核销</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公安机关、卫生健康部门</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29</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家庭困难证明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低收入家庭认定</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乡镇人民政府（街道办事处）、村（居）民委员会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30</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收入及财产证明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低收入家庭认定</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31</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家庭困难证明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众筹、慈善组织救助申请</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32</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领取失业保险金证明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城乡居民最低生活保障申请</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失业保险经办机构</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33</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领取失业保险金证明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临时救助资金给付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失业保险经办机构</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34</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死亡的证明材料</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参保人员丧葬补助</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公安机关、人民法院、医疗机构</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35</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低保证明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低保户参加城乡居民基本养老保险</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36</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就业证明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劳动者从事个体经营或</w:t>
            </w:r>
            <w:r>
              <w:rPr>
                <w:rFonts w:eastAsia="方正仿宋_GBK"/>
                <w:color w:val="000000"/>
                <w:kern w:val="2"/>
                <w:sz w:val="24"/>
                <w:lang w:eastAsia="zh-CN"/>
              </w:rPr>
              <w:t>灵活就业登记——灵活就业登记</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社保经办机构</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人力资源和社会保障部门</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37</w:t>
            </w:r>
          </w:p>
        </w:tc>
        <w:tc>
          <w:tcPr>
            <w:tcW w:w="1641" w:type="dxa"/>
            <w:shd w:val="clear" w:color="FFFFCC" w:fill="FFFFFF"/>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旧宅未办理宅基地使用权登记及宅基地权属来源证明等经村集体经济组织同意建房的证明材料</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农村宅基地用地审批</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38</w:t>
            </w:r>
          </w:p>
        </w:tc>
        <w:tc>
          <w:tcPr>
            <w:tcW w:w="1641"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所在村委会出具张榜公布结果证明材料</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农村村民宅基地审批</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39</w:t>
            </w:r>
          </w:p>
        </w:tc>
        <w:tc>
          <w:tcPr>
            <w:tcW w:w="1641" w:type="dxa"/>
            <w:shd w:val="clear" w:color="auto" w:fill="auto"/>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村集体经济组织和村委会的证明</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农村村民宅基地审批（属于农村家庭分户后申请建房的）</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村集体经济组织、村民委员会</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40</w:t>
            </w:r>
          </w:p>
        </w:tc>
        <w:tc>
          <w:tcPr>
            <w:tcW w:w="1641" w:type="dxa"/>
            <w:shd w:val="clear" w:color="auto" w:fill="auto"/>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供宅基地拆迁回建证明材料</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农村村民宅基地审批（属拆迁补偿安置的）</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村民委员会、征地拆迁部门</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41</w:t>
            </w:r>
          </w:p>
        </w:tc>
        <w:tc>
          <w:tcPr>
            <w:tcW w:w="1641" w:type="dxa"/>
            <w:shd w:val="clear" w:color="auto" w:fill="auto"/>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宅基地拆迁回建证明材料</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农村宅基地用地审批（属拆迁补偿安置的）</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村民委员会、征地拆迁部门</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42</w:t>
            </w:r>
          </w:p>
        </w:tc>
        <w:tc>
          <w:tcPr>
            <w:tcW w:w="1641"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经村集体经济组织同意建房的证明材料</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农村村民宅基地审批</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村集体经济组织</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43</w:t>
            </w:r>
          </w:p>
        </w:tc>
        <w:tc>
          <w:tcPr>
            <w:tcW w:w="1641"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一户一宅证明</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农村村民宅基地审批</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村民委员会</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shd w:val="clear" w:color="auto" w:fill="auto"/>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44</w:t>
            </w:r>
          </w:p>
        </w:tc>
        <w:tc>
          <w:tcPr>
            <w:tcW w:w="1641"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宅基地拆迁回建证明</w:t>
            </w:r>
          </w:p>
        </w:tc>
        <w:tc>
          <w:tcPr>
            <w:tcW w:w="190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农村村民宅基地审批</w:t>
            </w:r>
          </w:p>
        </w:tc>
        <w:tc>
          <w:tcPr>
            <w:tcW w:w="1171" w:type="dxa"/>
            <w:shd w:val="clear" w:color="FFFFCC" w:fill="FFFFFF"/>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自然资源部门</w:t>
            </w:r>
          </w:p>
        </w:tc>
        <w:tc>
          <w:tcPr>
            <w:tcW w:w="1596"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政府及政府相关部门</w:t>
            </w:r>
          </w:p>
        </w:tc>
        <w:tc>
          <w:tcPr>
            <w:tcW w:w="2335" w:type="dxa"/>
            <w:shd w:val="clear" w:color="FFFFCC" w:fill="FFFFFF"/>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使用《广西壮族自治区农村居民建设住宅用地申请表》替代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45</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危房改造验收证明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危房改造</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住房和城乡建设部门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46</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身份证明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农机购置补贴资金发放</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农机化主管部门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公安机关、市场监督管理部门</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47</w:t>
            </w:r>
          </w:p>
        </w:tc>
        <w:tc>
          <w:tcPr>
            <w:tcW w:w="1641"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户籍改革前户籍性质为农业的证明</w:t>
            </w:r>
          </w:p>
        </w:tc>
        <w:tc>
          <w:tcPr>
            <w:tcW w:w="190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计生家庭奖励扶助</w:t>
            </w:r>
          </w:p>
        </w:tc>
        <w:tc>
          <w:tcPr>
            <w:tcW w:w="1171" w:type="dxa"/>
            <w:noWrap w:val="0"/>
            <w:tcMar>
              <w:top w:w="28" w:type="dxa"/>
              <w:left w:w="28" w:type="dxa"/>
              <w:bottom w:w="28" w:type="dxa"/>
              <w:right w:w="28" w:type="dxa"/>
            </w:tcMar>
            <w:vAlign w:val="center"/>
          </w:tcPr>
          <w:p>
            <w:pPr>
              <w:widowControl/>
              <w:suppressAutoHyphens w:val="0"/>
              <w:spacing w:line="372"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1596"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2335" w:type="dxa"/>
            <w:noWrap w:val="0"/>
            <w:tcMar>
              <w:top w:w="28" w:type="dxa"/>
              <w:left w:w="28" w:type="dxa"/>
              <w:bottom w:w="28" w:type="dxa"/>
              <w:right w:w="28" w:type="dxa"/>
            </w:tcMar>
            <w:vAlign w:val="center"/>
          </w:tcPr>
          <w:p>
            <w:pPr>
              <w:widowControl/>
              <w:suppressAutoHyphens w:val="0"/>
              <w:spacing w:line="372"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48</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乡镇以上林业管理机构或者国有苗圃、国有林场的证明材料</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木材运输证核发</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林业部门、国有苗圃、国有林场</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49</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乡镇以上林业管理机构出具的证明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木材运输证核发</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通过申请人书面承诺、签字申明等办理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50</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 xml:space="preserve">林权依法变更或者灭失的有关证明文件 </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森林、林木和林地所有权、使用权证书核发</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林业部门或不动产登记部门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银行业金融机构、相关行政主管部门或县政府、乡镇人民政府（街道办事处）、村民委员会、村民小组、申请人提供</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51</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城乡医疗救助审查意见</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乡镇人民政府（街道办事处）、村（居）民委员会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52</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病补证明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村（居）民委员会</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53</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收入证明</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申请人所在工作单位</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54</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残疾证明或残疾军人证</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残联</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55</w:t>
            </w:r>
          </w:p>
        </w:tc>
        <w:tc>
          <w:tcPr>
            <w:tcW w:w="1641"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基本医疗保险证</w:t>
            </w:r>
          </w:p>
        </w:tc>
        <w:tc>
          <w:tcPr>
            <w:tcW w:w="190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5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2335" w:type="dxa"/>
            <w:noWrap w:val="0"/>
            <w:tcMar>
              <w:top w:w="28" w:type="dxa"/>
              <w:left w:w="28" w:type="dxa"/>
              <w:bottom w:w="28" w:type="dxa"/>
              <w:right w:w="28" w:type="dxa"/>
            </w:tcMar>
            <w:vAlign w:val="center"/>
          </w:tcPr>
          <w:p>
            <w:pPr>
              <w:widowControl/>
              <w:suppressAutoHyphens w:val="0"/>
              <w:spacing w:line="35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56</w:t>
            </w:r>
          </w:p>
        </w:tc>
        <w:tc>
          <w:tcPr>
            <w:tcW w:w="1641"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准生证明</w:t>
            </w:r>
          </w:p>
        </w:tc>
        <w:tc>
          <w:tcPr>
            <w:tcW w:w="1906"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卫生健康部门</w:t>
            </w:r>
          </w:p>
        </w:tc>
        <w:tc>
          <w:tcPr>
            <w:tcW w:w="2335"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57</w:t>
            </w:r>
          </w:p>
        </w:tc>
        <w:tc>
          <w:tcPr>
            <w:tcW w:w="1641"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出生医学证明</w:t>
            </w:r>
          </w:p>
        </w:tc>
        <w:tc>
          <w:tcPr>
            <w:tcW w:w="1906"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2335"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 w:type="dxa"/>
            <w:noWrap w:val="0"/>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58</w:t>
            </w:r>
          </w:p>
        </w:tc>
        <w:tc>
          <w:tcPr>
            <w:tcW w:w="1641"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诊断证明原件</w:t>
            </w:r>
          </w:p>
        </w:tc>
        <w:tc>
          <w:tcPr>
            <w:tcW w:w="1906"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城乡医疗救助金给付</w:t>
            </w:r>
          </w:p>
        </w:tc>
        <w:tc>
          <w:tcPr>
            <w:tcW w:w="1171" w:type="dxa"/>
            <w:noWrap w:val="0"/>
            <w:tcMar>
              <w:top w:w="28" w:type="dxa"/>
              <w:left w:w="28" w:type="dxa"/>
              <w:bottom w:w="28" w:type="dxa"/>
              <w:right w:w="28" w:type="dxa"/>
            </w:tcMar>
            <w:vAlign w:val="center"/>
          </w:tcPr>
          <w:p>
            <w:pPr>
              <w:widowControl/>
              <w:suppressAutoHyphens w:val="0"/>
              <w:spacing w:line="360" w:lineRule="exact"/>
              <w:jc w:val="center"/>
              <w:rPr>
                <w:rFonts w:hint="eastAsia" w:eastAsia="方正仿宋_GBK" w:cs="宋体"/>
                <w:color w:val="000000"/>
                <w:kern w:val="2"/>
                <w:sz w:val="24"/>
                <w:lang w:eastAsia="zh-CN"/>
              </w:rPr>
            </w:pPr>
            <w:r>
              <w:rPr>
                <w:rFonts w:hint="eastAsia" w:eastAsia="方正仿宋_GBK" w:cs="宋体"/>
                <w:color w:val="000000"/>
                <w:kern w:val="2"/>
                <w:sz w:val="24"/>
                <w:lang w:eastAsia="zh-CN"/>
              </w:rPr>
              <w:t>医疗保障部门</w:t>
            </w:r>
          </w:p>
        </w:tc>
        <w:tc>
          <w:tcPr>
            <w:tcW w:w="1596"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医疗机构</w:t>
            </w:r>
          </w:p>
        </w:tc>
        <w:tc>
          <w:tcPr>
            <w:tcW w:w="2335" w:type="dxa"/>
            <w:noWrap w:val="0"/>
            <w:tcMar>
              <w:top w:w="28" w:type="dxa"/>
              <w:left w:w="28" w:type="dxa"/>
              <w:bottom w:w="28" w:type="dxa"/>
              <w:right w:w="28" w:type="dxa"/>
            </w:tcMar>
            <w:vAlign w:val="center"/>
          </w:tcPr>
          <w:p>
            <w:pPr>
              <w:widowControl/>
              <w:suppressAutoHyphens w:val="0"/>
              <w:spacing w:line="360" w:lineRule="exact"/>
              <w:rPr>
                <w:rFonts w:hint="eastAsia" w:eastAsia="方正仿宋_GBK" w:cs="宋体"/>
                <w:color w:val="000000"/>
                <w:kern w:val="2"/>
                <w:sz w:val="24"/>
                <w:lang w:eastAsia="zh-CN"/>
              </w:rPr>
            </w:pPr>
            <w:r>
              <w:rPr>
                <w:rFonts w:hint="eastAsia" w:eastAsia="方正仿宋_GBK" w:cs="宋体"/>
                <w:color w:val="000000"/>
                <w:kern w:val="2"/>
                <w:sz w:val="24"/>
                <w:lang w:eastAsia="zh-CN"/>
              </w:rPr>
              <w:t>通过内部调查、信息共享、网络核验、主动核查等方式核实</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A4731"/>
    <w:rsid w:val="426A4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2019-03-27T02:27:00Z</dcterms:created>
  <dc:creator>文艺大蘑菇</dc:creator>
  <cp:lastModifiedBy>文艺大蘑菇</cp:lastModifiedBy>
  <dcterms:modified xsi:type="dcterms:W3CDTF">2019-03-27T02:27:47Z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