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bookmarkStart w:id="0" w:name="_Toc24724725"/>
      <w:r>
        <w:rPr>
          <w:rFonts w:hint="eastAsia" w:ascii="方正小标宋_GBK" w:eastAsia="方正小标宋_GBK"/>
          <w:sz w:val="44"/>
          <w:szCs w:val="44"/>
        </w:rPr>
        <w:t>（二十二）安全生产领域基层政务公开标准目录</w:t>
      </w:r>
      <w:bookmarkEnd w:id="0"/>
    </w:p>
    <w:tbl>
      <w:tblPr>
        <w:tblStyle w:val="2"/>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vAlign w:val="center"/>
          </w:tcPr>
          <w:p>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Merge w:val="continue"/>
            <w:vAlign w:val="center"/>
          </w:tcPr>
          <w:p>
            <w:pPr>
              <w:widowControl/>
              <w:jc w:val="center"/>
              <w:rPr>
                <w:rFonts w:hint="eastAsia" w:ascii="仿宋_GB2312" w:eastAsia="仿宋_GB2312"/>
                <w:color w:val="000000"/>
                <w:kern w:val="0"/>
                <w:sz w:val="18"/>
                <w:szCs w:val="18"/>
              </w:rPr>
            </w:pPr>
          </w:p>
        </w:tc>
        <w:tc>
          <w:tcPr>
            <w:tcW w:w="90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hint="eastAsia" w:ascii="黑体" w:hAnsi="宋体" w:eastAsia="黑体" w:cs="宋体"/>
                <w:color w:val="000000"/>
                <w:kern w:val="0"/>
                <w:sz w:val="22"/>
              </w:rPr>
            </w:pPr>
          </w:p>
        </w:tc>
        <w:tc>
          <w:tcPr>
            <w:tcW w:w="2520" w:type="dxa"/>
            <w:vMerge w:val="continue"/>
            <w:vAlign w:val="center"/>
          </w:tcPr>
          <w:p>
            <w:pPr>
              <w:widowControl/>
              <w:jc w:val="left"/>
              <w:rPr>
                <w:rFonts w:hint="eastAsia" w:ascii="黑体" w:hAnsi="宋体" w:eastAsia="黑体" w:cs="宋体"/>
                <w:color w:val="000000"/>
                <w:kern w:val="0"/>
                <w:sz w:val="22"/>
              </w:rPr>
            </w:pPr>
          </w:p>
        </w:tc>
        <w:tc>
          <w:tcPr>
            <w:tcW w:w="1800" w:type="dxa"/>
            <w:vMerge w:val="continue"/>
            <w:vAlign w:val="center"/>
          </w:tcPr>
          <w:p>
            <w:pPr>
              <w:widowControl/>
              <w:jc w:val="left"/>
              <w:rPr>
                <w:rFonts w:hint="eastAsia" w:ascii="黑体" w:hAnsi="宋体" w:eastAsia="黑体" w:cs="宋体"/>
                <w:color w:val="000000"/>
                <w:kern w:val="0"/>
                <w:sz w:val="22"/>
              </w:rPr>
            </w:pPr>
          </w:p>
        </w:tc>
        <w:tc>
          <w:tcPr>
            <w:tcW w:w="900" w:type="dxa"/>
            <w:vMerge w:val="continue"/>
            <w:vAlign w:val="center"/>
          </w:tcPr>
          <w:p>
            <w:pPr>
              <w:widowControl/>
              <w:jc w:val="center"/>
              <w:rPr>
                <w:rFonts w:hint="eastAsia" w:ascii="黑体" w:hAnsi="宋体" w:eastAsia="黑体" w:cs="宋体"/>
                <w:color w:val="000000"/>
                <w:kern w:val="0"/>
                <w:sz w:val="22"/>
              </w:rPr>
            </w:pPr>
          </w:p>
        </w:tc>
        <w:tc>
          <w:tcPr>
            <w:tcW w:w="1496" w:type="dxa"/>
            <w:vMerge w:val="continue"/>
            <w:vAlign w:val="center"/>
          </w:tcPr>
          <w:p>
            <w:pPr>
              <w:widowControl/>
              <w:jc w:val="left"/>
              <w:rPr>
                <w:rFonts w:hint="eastAsia" w:ascii="黑体" w:hAnsi="宋体" w:eastAsia="黑体" w:cs="宋体"/>
                <w:kern w:val="0"/>
                <w:sz w:val="22"/>
              </w:rPr>
            </w:pPr>
          </w:p>
        </w:tc>
        <w:tc>
          <w:tcPr>
            <w:tcW w:w="664"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eastAsia="zh-CN"/>
              </w:rPr>
              <w:t>区</w:t>
            </w:r>
            <w:r>
              <w:rPr>
                <w:rFonts w:hint="eastAsia" w:ascii="黑体" w:hAnsi="宋体" w:eastAsia="黑体" w:cs="宋体"/>
                <w:color w:val="000000"/>
                <w:kern w:val="0"/>
                <w:sz w:val="22"/>
              </w:rPr>
              <w:t>级</w:t>
            </w:r>
          </w:p>
        </w:tc>
        <w:tc>
          <w:tcPr>
            <w:tcW w:w="54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restart"/>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val="en-US" w:eastAsia="zh-CN"/>
              </w:rPr>
              <w:t>微信公众号</w:t>
            </w:r>
            <w:r>
              <w:rPr>
                <w:rFonts w:hint="eastAsia" w:ascii="仿宋_GB2312" w:eastAsia="仿宋_GB2312"/>
                <w:sz w:val="18"/>
                <w:szCs w:val="18"/>
              </w:rPr>
              <w:t xml:space="preserve">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vAlign w:val="center"/>
          </w:tcPr>
          <w:p>
            <w:pPr>
              <w:spacing w:line="240" w:lineRule="exact"/>
              <w:jc w:val="left"/>
              <w:rPr>
                <w:rFonts w:hint="eastAsia" w:ascii="仿宋_GB2312" w:eastAsia="仿宋_GB2312"/>
                <w:sz w:val="18"/>
                <w:szCs w:val="18"/>
              </w:rPr>
            </w:pP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vAlign w:val="center"/>
          </w:tcPr>
          <w:p>
            <w:pPr>
              <w:spacing w:line="240" w:lineRule="exact"/>
              <w:jc w:val="left"/>
              <w:rPr>
                <w:rFonts w:hint="eastAsia" w:ascii="仿宋_GB2312" w:eastAsia="仿宋_GB2312"/>
                <w:sz w:val="18"/>
                <w:szCs w:val="18"/>
              </w:rPr>
            </w:pP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vAlign w:val="center"/>
          </w:tcPr>
          <w:p>
            <w:pPr>
              <w:spacing w:line="240" w:lineRule="exact"/>
              <w:jc w:val="left"/>
              <w:rPr>
                <w:rFonts w:hint="eastAsia" w:ascii="仿宋_GB2312" w:eastAsia="仿宋_GB2312"/>
                <w:sz w:val="18"/>
                <w:szCs w:val="18"/>
              </w:rPr>
            </w:pP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《政府信息公开条例》、《关于全面推进政务公开工作的意见》（中办发〔2016〕8号）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val="en-US" w:eastAsia="zh-CN"/>
              </w:rPr>
              <w:t>微信公众号</w:t>
            </w:r>
            <w:r>
              <w:rPr>
                <w:rFonts w:hint="eastAsia" w:ascii="仿宋_GB2312" w:eastAsia="仿宋_GB2312"/>
                <w:sz w:val="18"/>
                <w:szCs w:val="18"/>
              </w:rPr>
              <w:t xml:space="preserve">  ■公开查阅点 </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val="en-US" w:eastAsia="zh-CN"/>
              </w:rPr>
              <w:t>微信公众号</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jc w:val="left"/>
              <w:rPr>
                <w:rFonts w:hint="eastAsia"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 ■政务服务中</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■便民服务站</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vAlign w:val="top"/>
          </w:tcPr>
          <w:p>
            <w:pPr>
              <w:rPr>
                <w:rFonts w:eastAsia="仿宋_GB2312"/>
              </w:rPr>
            </w:pPr>
            <w:r>
              <w:rPr>
                <w:rFonts w:eastAsia="仿宋_GB2312"/>
                <w:bCs/>
                <w:color w:val="000000"/>
                <w:sz w:val="18"/>
                <w:szCs w:val="18"/>
              </w:rPr>
              <w:t>《政府信息公开条例》、《关于全面推进政务公开工作的意见》（中办发〔2016〕8号）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val="en-US" w:eastAsia="zh-CN"/>
              </w:rPr>
              <w:t>微信公众号</w:t>
            </w:r>
            <w:r>
              <w:rPr>
                <w:rFonts w:hint="eastAsia" w:ascii="仿宋_GB2312" w:eastAsia="仿宋_GB2312"/>
                <w:sz w:val="18"/>
                <w:szCs w:val="18"/>
              </w:rPr>
              <w:t xml:space="preserve">  ■公开查阅点 </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《政府信息公开条例》、《关于推进安全生产领域改革发展的意见》（中发〔2016〕32号）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val="en-US" w:eastAsia="zh-CN"/>
              </w:rPr>
              <w:t>微信公众号</w:t>
            </w:r>
            <w:r>
              <w:rPr>
                <w:rFonts w:hint="eastAsia" w:ascii="仿宋_GB2312" w:eastAsia="仿宋_GB2312"/>
                <w:sz w:val="18"/>
                <w:szCs w:val="18"/>
              </w:rPr>
              <w:t xml:space="preserve">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《政府信息公开条例》、《关于推进安全生产领域改革发展的意见》（中发〔2016〕32号）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rPr>
              <w:t>■政府网站   ■</w:t>
            </w:r>
            <w:r>
              <w:rPr>
                <w:rFonts w:hint="eastAsia" w:ascii="仿宋_GB2312" w:eastAsia="仿宋_GB2312"/>
                <w:sz w:val="18"/>
                <w:szCs w:val="18"/>
                <w:lang w:val="en-US" w:eastAsia="zh-CN"/>
              </w:rPr>
              <w:t>微信公众号</w:t>
            </w:r>
          </w:p>
          <w:p>
            <w:pPr>
              <w:spacing w:line="240" w:lineRule="exact"/>
              <w:jc w:val="left"/>
              <w:rPr>
                <w:rFonts w:hint="eastAsia" w:ascii="仿宋_GB2312" w:eastAsia="仿宋_GB2312"/>
                <w:sz w:val="18"/>
                <w:szCs w:val="18"/>
              </w:rPr>
            </w:pPr>
            <w:r>
              <w:rPr>
                <w:rFonts w:hint="eastAsia" w:ascii="仿宋_GB2312" w:eastAsia="仿宋_GB2312"/>
                <w:sz w:val="18"/>
                <w:szCs w:val="18"/>
              </w:rPr>
              <w:t>■公开查阅点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《政府信息公开条例》、《突发事件应对法》、《突发事件应急预案管理办法》（国办发〔2013〕101号）、《中共中央 国务院关于推进安全生产领域改革发展的意见》（中发〔2016〕32号）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val="en-US" w:eastAsia="zh-CN"/>
              </w:rPr>
              <w:t>微信公众号</w:t>
            </w:r>
            <w:r>
              <w:rPr>
                <w:rFonts w:hint="eastAsia" w:ascii="仿宋_GB2312" w:eastAsia="仿宋_GB2312"/>
                <w:sz w:val="18"/>
                <w:szCs w:val="18"/>
              </w:rPr>
              <w:t xml:space="preserve">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pPr>
              <w:rPr>
                <w:rFonts w:eastAsia="仿宋_GB2312"/>
                <w:bCs/>
                <w:color w:val="000000"/>
                <w:sz w:val="18"/>
                <w:szCs w:val="18"/>
              </w:rPr>
            </w:pPr>
            <w:r>
              <w:rPr>
                <w:rFonts w:eastAsia="仿宋_GB2312"/>
                <w:bCs/>
                <w:color w:val="000000"/>
                <w:sz w:val="18"/>
                <w:szCs w:val="18"/>
              </w:rPr>
              <w:t>《安全生产法》、《政府信息公开条例》、《中共中央 国务院关于推进安全生产领域改革发展的意见》（中发〔2016〕32号）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eastAsia="zh-CN"/>
              </w:rPr>
              <w:t>微信公众号</w:t>
            </w:r>
            <w:r>
              <w:rPr>
                <w:rFonts w:hint="eastAsia" w:ascii="仿宋_GB2312" w:eastAsia="仿宋_GB2312"/>
                <w:sz w:val="18"/>
                <w:szCs w:val="18"/>
              </w:rPr>
              <w:t xml:space="preserve">   ■广播电视   ■公开查阅点</w:t>
            </w:r>
          </w:p>
          <w:p>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《政府信息公开条例》、《突发事件应对法》、《关于全面加强政务公开工作的意见》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eastAsia="zh-CN"/>
              </w:rPr>
              <w:t>微信公众号</w:t>
            </w:r>
            <w:r>
              <w:rPr>
                <w:rFonts w:hint="eastAsia" w:ascii="仿宋_GB2312" w:eastAsia="仿宋_GB2312"/>
                <w:sz w:val="18"/>
                <w:szCs w:val="18"/>
              </w:rPr>
              <w:t xml:space="preserve">   ■公开查阅点 ■政务服务中心</w:t>
            </w:r>
            <w:r>
              <w:rPr>
                <w:rFonts w:hint="eastAsia" w:ascii="仿宋_GB2312" w:eastAsia="仿宋_GB2312"/>
                <w:sz w:val="18"/>
                <w:szCs w:val="18"/>
              </w:rPr>
              <w:br w:type="textWrapping"/>
            </w:r>
            <w:r>
              <w:rPr>
                <w:rFonts w:hint="eastAsia" w:ascii="仿宋_GB2312" w:eastAsia="仿宋_GB2312"/>
                <w:sz w:val="18"/>
                <w:szCs w:val="18"/>
              </w:rPr>
              <w:t>■便民服务站</w:t>
            </w:r>
          </w:p>
          <w:p>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《政府信息公开条例》、《社会信用体系建设规划纲要（2014-2020年）》(国发〔2014〕21号)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w:t>
            </w:r>
            <w:bookmarkStart w:id="1" w:name="_GoBack"/>
            <w:bookmarkEnd w:id="1"/>
            <w:r>
              <w:rPr>
                <w:rFonts w:hint="eastAsia" w:ascii="仿宋_GB2312" w:eastAsia="仿宋_GB2312"/>
                <w:sz w:val="18"/>
                <w:szCs w:val="18"/>
                <w:lang w:eastAsia="zh-CN"/>
              </w:rPr>
              <w:t>微信公众号</w:t>
            </w:r>
            <w:r>
              <w:rPr>
                <w:rFonts w:hint="eastAsia" w:ascii="仿宋_GB2312" w:eastAsia="仿宋_GB2312"/>
                <w:sz w:val="18"/>
                <w:szCs w:val="18"/>
              </w:rPr>
              <w:t xml:space="preserve">   ■公开查阅点 ■政务服务中心</w:t>
            </w:r>
            <w:r>
              <w:rPr>
                <w:rFonts w:hint="eastAsia" w:ascii="仿宋_GB2312" w:eastAsia="仿宋_GB2312"/>
                <w:sz w:val="18"/>
                <w:szCs w:val="18"/>
              </w:rPr>
              <w:br w:type="textWrapping"/>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vAlign w:val="center"/>
          </w:tcPr>
          <w:p>
            <w:pPr>
              <w:jc w:val="left"/>
              <w:rPr>
                <w:rFonts w:hint="eastAsia" w:ascii="仿宋_GB2312" w:hAnsi="宋体" w:eastAsia="仿宋_GB2312" w:cs="宋体"/>
                <w:bCs/>
                <w:sz w:val="18"/>
                <w:szCs w:val="18"/>
              </w:rPr>
            </w:pPr>
            <w:r>
              <w:rPr>
                <w:rFonts w:hint="eastAsia" w:ascii="仿宋_GB2312" w:eastAsia="仿宋_GB2312"/>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pPr>
              <w:rPr>
                <w:rFonts w:eastAsia="仿宋_GB2312"/>
                <w:bCs/>
                <w:color w:val="000000"/>
                <w:sz w:val="18"/>
                <w:szCs w:val="18"/>
              </w:rPr>
            </w:pPr>
            <w:r>
              <w:rPr>
                <w:rFonts w:eastAsia="仿宋_GB2312"/>
                <w:bCs/>
                <w:color w:val="000000"/>
                <w:sz w:val="18"/>
                <w:szCs w:val="18"/>
              </w:rPr>
              <w:t>《安全生产法》、《政府信息公开条例》、《中共中央 国务院关于推进安全生产领域改革发展的意见》（中发〔2016〕32号）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eastAsia="zh-CN"/>
              </w:rPr>
              <w:t>微信公众号</w:t>
            </w:r>
            <w:r>
              <w:rPr>
                <w:rFonts w:hint="eastAsia" w:ascii="仿宋_GB2312" w:eastAsia="仿宋_GB2312"/>
                <w:sz w:val="18"/>
                <w:szCs w:val="18"/>
              </w:rPr>
              <w:t xml:space="preserve">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eastAsia="zh-CN"/>
              </w:rPr>
              <w:t>微信公众号</w:t>
            </w:r>
            <w:r>
              <w:rPr>
                <w:rFonts w:hint="eastAsia" w:ascii="仿宋_GB2312" w:eastAsia="仿宋_GB2312"/>
                <w:sz w:val="18"/>
                <w:szCs w:val="18"/>
              </w:rPr>
              <w:t xml:space="preserve">   ■发布会</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■其他</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w:t>
            </w:r>
            <w:r>
              <w:rPr>
                <w:rFonts w:hint="eastAsia" w:ascii="仿宋_GB2312" w:eastAsia="仿宋_GB2312"/>
                <w:sz w:val="18"/>
                <w:szCs w:val="18"/>
                <w:lang w:eastAsia="zh-CN"/>
              </w:rPr>
              <w:t>微信公众号</w:t>
            </w:r>
            <w:r>
              <w:rPr>
                <w:rFonts w:hint="eastAsia" w:ascii="仿宋_GB2312" w:eastAsia="仿宋_GB2312"/>
                <w:sz w:val="18"/>
                <w:szCs w:val="18"/>
              </w:rPr>
              <w:t xml:space="preserve">   ■发布会</w:t>
            </w:r>
            <w:r>
              <w:rPr>
                <w:rFonts w:hint="eastAsia" w:ascii="仿宋_GB2312" w:eastAsia="仿宋_GB2312"/>
                <w:sz w:val="18"/>
                <w:szCs w:val="18"/>
              </w:rPr>
              <w:br w:type="textWrapping"/>
            </w:r>
            <w:r>
              <w:rPr>
                <w:rFonts w:hint="eastAsia" w:ascii="仿宋_GB2312" w:eastAsia="仿宋_GB2312"/>
                <w:sz w:val="18"/>
                <w:szCs w:val="18"/>
              </w:rPr>
              <w:t>■广播电视   ■纸质媒体</w:t>
            </w:r>
          </w:p>
          <w:p>
            <w:pPr>
              <w:spacing w:line="240" w:lineRule="exact"/>
              <w:jc w:val="left"/>
              <w:rPr>
                <w:rFonts w:hint="eastAsia" w:ascii="仿宋_GB2312" w:eastAsia="仿宋_GB2312"/>
                <w:sz w:val="18"/>
                <w:szCs w:val="18"/>
              </w:rPr>
            </w:pPr>
            <w:r>
              <w:rPr>
                <w:rFonts w:hint="eastAsia" w:ascii="仿宋_GB2312" w:eastAsia="仿宋_GB2312"/>
                <w:sz w:val="18"/>
                <w:szCs w:val="18"/>
              </w:rPr>
              <w:t>■便民服务站 ■入户/现场</w:t>
            </w:r>
            <w:r>
              <w:rPr>
                <w:rFonts w:hint="eastAsia" w:ascii="仿宋_GB2312" w:eastAsia="仿宋_GB2312"/>
                <w:sz w:val="18"/>
                <w:szCs w:val="18"/>
              </w:rPr>
              <w:br w:type="textWrapping"/>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hint="eastAsia" w:ascii="仿宋_GB2312" w:eastAsia="仿宋_GB2312"/>
                <w:sz w:val="18"/>
                <w:szCs w:val="18"/>
              </w:rPr>
              <w:t>■精准推送   ■其他</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vAlign w:val="center"/>
          </w:tcPr>
          <w:p>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主要业务办事指南</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vAlign w:val="center"/>
          </w:tcPr>
          <w:p>
            <w:pPr>
              <w:rPr>
                <w:rFonts w:eastAsia="仿宋_GB2312"/>
                <w:bCs/>
                <w:sz w:val="18"/>
                <w:szCs w:val="18"/>
              </w:rPr>
            </w:pPr>
            <w:r>
              <w:rPr>
                <w:rFonts w:eastAsia="仿宋_GB2312"/>
                <w:bCs/>
                <w:sz w:val="18"/>
                <w:szCs w:val="18"/>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pPr>
              <w:rPr>
                <w:rFonts w:eastAsia="仿宋_GB2312"/>
                <w:bCs/>
                <w:sz w:val="18"/>
                <w:szCs w:val="18"/>
              </w:rPr>
            </w:pPr>
            <w:r>
              <w:rPr>
                <w:rFonts w:eastAsia="仿宋_GB2312"/>
                <w:bCs/>
                <w:sz w:val="18"/>
                <w:szCs w:val="18"/>
              </w:rPr>
              <w:t>《政府信息公开条例》、《国务院关于深化预算管理制度改革的决定》（国发〔2014〕45号）、《国务院办公厅关于进一步推进预算公开工作意见的通知》（中办发〔2016〕13号）</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pPr>
              <w:rPr>
                <w:rFonts w:eastAsia="仿宋_GB2312"/>
                <w:bCs/>
                <w:sz w:val="18"/>
                <w:szCs w:val="18"/>
              </w:rPr>
            </w:pPr>
            <w:r>
              <w:rPr>
                <w:rFonts w:eastAsia="仿宋_GB2312"/>
                <w:bCs/>
                <w:sz w:val="18"/>
                <w:szCs w:val="18"/>
              </w:rPr>
              <w:t>《政府信息公开条例》、《国务院关于深化预算管理制度改革的决定》（国发〔2014〕45号）、中办、国办印发《关于进一步推进预算公开工作的意见》的通知（中办发〔2016〕13号）</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26</w:t>
            </w:r>
          </w:p>
        </w:tc>
        <w:tc>
          <w:tcPr>
            <w:tcW w:w="900" w:type="dxa"/>
            <w:vMerge w:val="restart"/>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《政府信息公开条例》、《国务院办公厅关于推进重大建设项目批准和实施领域政府信息公开的意见》（国办发〔2017〕94号）</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sz w:val="18"/>
                <w:szCs w:val="18"/>
              </w:rPr>
              <w:t>■公开查阅点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28</w:t>
            </w:r>
          </w:p>
        </w:tc>
        <w:tc>
          <w:tcPr>
            <w:tcW w:w="900" w:type="dxa"/>
            <w:vMerge w:val="continue"/>
            <w:vAlign w:val="center"/>
          </w:tcPr>
          <w:p>
            <w:pPr>
              <w:rPr>
                <w:rFonts w:hint="eastAsia" w:ascii="仿宋_GB2312" w:hAnsi="宋体" w:eastAsia="仿宋_GB2312" w:cs="宋体"/>
                <w:color w:val="000000"/>
                <w:sz w:val="18"/>
                <w:szCs w:val="18"/>
              </w:rPr>
            </w:pPr>
          </w:p>
        </w:tc>
        <w:tc>
          <w:tcPr>
            <w:tcW w:w="108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2520" w:type="dxa"/>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2520" w:type="dxa"/>
            <w:vAlign w:val="center"/>
          </w:tcPr>
          <w:p>
            <w:pPr>
              <w:rPr>
                <w:rFonts w:eastAsia="仿宋_GB2312"/>
                <w:bCs/>
                <w:color w:val="000000"/>
                <w:sz w:val="18"/>
                <w:szCs w:val="18"/>
              </w:rPr>
            </w:pPr>
            <w:r>
              <w:rPr>
                <w:rFonts w:eastAsia="仿宋_GB2312"/>
                <w:bCs/>
                <w:color w:val="000000"/>
                <w:sz w:val="18"/>
                <w:szCs w:val="18"/>
              </w:rPr>
              <w:t>《政府信息公开条例》、《国务院办公厅关于做好全国人大代表建议和全国政协委员提案办理结果公开工作的通知》（国办发〔2014〕46号）</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vAlign w:val="center"/>
          </w:tcPr>
          <w:p>
            <w:pPr>
              <w:spacing w:line="240" w:lineRule="exact"/>
              <w:jc w:val="left"/>
              <w:rPr>
                <w:rFonts w:hint="eastAsia" w:ascii="仿宋_GB2312" w:hAnsi="宋体" w:eastAsia="仿宋_GB2312" w:cs="宋体"/>
                <w:bCs/>
                <w:sz w:val="18"/>
                <w:szCs w:val="18"/>
              </w:rPr>
            </w:pPr>
            <w:r>
              <w:rPr>
                <w:rFonts w:hint="eastAsia" w:ascii="仿宋_GB2312" w:eastAsia="仿宋_GB2312"/>
                <w:sz w:val="18"/>
                <w:szCs w:val="18"/>
              </w:rPr>
              <w:t>■政府网站   ■公开查阅点 ■政务服务中心</w:t>
            </w:r>
            <w:r>
              <w:rPr>
                <w:rFonts w:hint="eastAsia" w:ascii="仿宋_GB2312" w:eastAsia="仿宋_GB2312"/>
                <w:sz w:val="18"/>
                <w:szCs w:val="18"/>
              </w:rPr>
              <w:br w:type="textWrapping"/>
            </w:r>
            <w:r>
              <w:rPr>
                <w:rFonts w:hint="eastAsia" w:ascii="仿宋_GB2312" w:eastAsia="仿宋_GB2312"/>
                <w:sz w:val="18"/>
                <w:szCs w:val="18"/>
              </w:rPr>
              <w:t>■便民服务站</w:t>
            </w:r>
          </w:p>
        </w:tc>
        <w:tc>
          <w:tcPr>
            <w:tcW w:w="664"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bl>
    <w:p>
      <w: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727CF"/>
    <w:rsid w:val="04E727CF"/>
    <w:rsid w:val="29860323"/>
    <w:rsid w:val="67F8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2020-09-25T04:02:00Z</dcterms:created>
  <dc:creator>七星区应急管理局</dc:creator>
  <cp:lastModifiedBy>520</cp:lastModifiedBy>
  <dcterms:modified xsi:type="dcterms:W3CDTF">2022-10-17T07:52:50Z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