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ascii="方正小标宋_GBK" w:eastAsia="方正小标宋_GBK"/>
          <w:sz w:val="44"/>
          <w:szCs w:val="44"/>
        </w:rPr>
      </w:pPr>
      <w:bookmarkStart w:id="1" w:name="_GoBack"/>
      <w:bookmarkStart w:id="0" w:name="_Toc24724719"/>
      <w:r>
        <w:rPr>
          <w:rFonts w:hint="eastAsia" w:ascii="方正小标宋_GBK" w:eastAsia="方正小标宋_GBK"/>
          <w:sz w:val="44"/>
          <w:szCs w:val="44"/>
        </w:rPr>
        <w:t>（十六）农村危房改造领域基层政务公开标准目录</w:t>
      </w:r>
      <w:bookmarkEnd w:id="0"/>
    </w:p>
    <w:bookmarkEnd w:id="1"/>
    <w:tbl>
      <w:tblPr>
        <w:tblStyle w:val="6"/>
        <w:tblW w:w="15480" w:type="dxa"/>
        <w:jc w:val="center"/>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hd w:val="clear" w:color="auto" w:fill="FFFFFF"/>
              <w:jc w:val="center"/>
              <w:rPr>
                <w:color w:val="000000"/>
                <w:kern w:val="0"/>
                <w:sz w:val="22"/>
              </w:rPr>
            </w:pPr>
            <w:r>
              <w:rPr>
                <w:rFonts w:hAnsi="宋体"/>
                <w:color w:val="000000"/>
                <w:kern w:val="0"/>
                <w:sz w:val="22"/>
              </w:rPr>
              <w:t>序号</w:t>
            </w:r>
          </w:p>
        </w:tc>
        <w:tc>
          <w:tcPr>
            <w:tcW w:w="2160" w:type="dxa"/>
            <w:gridSpan w:val="2"/>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pPr>
              <w:widowControl/>
              <w:shd w:val="clear" w:color="auto" w:fill="FFFFFF"/>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hd w:val="clear" w:color="auto" w:fill="FFFFFF"/>
              <w:jc w:val="left"/>
              <w:rPr>
                <w:color w:val="000000"/>
                <w:kern w:val="0"/>
                <w:sz w:val="22"/>
              </w:rPr>
            </w:pPr>
          </w:p>
        </w:tc>
        <w:tc>
          <w:tcPr>
            <w:tcW w:w="900" w:type="dxa"/>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shd w:val="clear" w:color="auto" w:fill="FFFFFF"/>
              <w:jc w:val="left"/>
              <w:rPr>
                <w:rFonts w:ascii="黑体" w:hAnsi="宋体" w:eastAsia="黑体" w:cs="宋体"/>
                <w:color w:val="000000"/>
                <w:kern w:val="0"/>
                <w:sz w:val="22"/>
              </w:rPr>
            </w:pPr>
          </w:p>
        </w:tc>
        <w:tc>
          <w:tcPr>
            <w:tcW w:w="1800" w:type="dxa"/>
            <w:vMerge w:val="continue"/>
            <w:vAlign w:val="center"/>
          </w:tcPr>
          <w:p>
            <w:pPr>
              <w:widowControl/>
              <w:shd w:val="clear" w:color="auto" w:fill="FFFFFF"/>
              <w:jc w:val="left"/>
              <w:rPr>
                <w:rFonts w:ascii="黑体" w:hAnsi="宋体" w:eastAsia="黑体" w:cs="宋体"/>
                <w:color w:val="000000"/>
                <w:kern w:val="0"/>
                <w:sz w:val="22"/>
              </w:rPr>
            </w:pPr>
          </w:p>
        </w:tc>
        <w:tc>
          <w:tcPr>
            <w:tcW w:w="1402" w:type="dxa"/>
            <w:vMerge w:val="continue"/>
            <w:vAlign w:val="center"/>
          </w:tcPr>
          <w:p>
            <w:pPr>
              <w:widowControl/>
              <w:shd w:val="clear" w:color="auto" w:fill="FFFFFF"/>
              <w:jc w:val="left"/>
              <w:rPr>
                <w:rFonts w:ascii="黑体" w:hAnsi="宋体" w:eastAsia="黑体" w:cs="宋体"/>
                <w:color w:val="000000"/>
                <w:kern w:val="0"/>
                <w:sz w:val="22"/>
              </w:rPr>
            </w:pPr>
          </w:p>
        </w:tc>
        <w:tc>
          <w:tcPr>
            <w:tcW w:w="1440" w:type="dxa"/>
            <w:vMerge w:val="continue"/>
            <w:vAlign w:val="center"/>
          </w:tcPr>
          <w:p>
            <w:pPr>
              <w:widowControl/>
              <w:shd w:val="clear" w:color="auto" w:fill="FFFFFF"/>
              <w:jc w:val="left"/>
              <w:rPr>
                <w:rFonts w:ascii="黑体" w:hAnsi="宋体" w:eastAsia="黑体" w:cs="宋体"/>
                <w:color w:val="000000"/>
                <w:kern w:val="0"/>
                <w:sz w:val="22"/>
              </w:rPr>
            </w:pPr>
          </w:p>
        </w:tc>
        <w:tc>
          <w:tcPr>
            <w:tcW w:w="2018" w:type="dxa"/>
            <w:vMerge w:val="continue"/>
            <w:vAlign w:val="center"/>
          </w:tcPr>
          <w:p>
            <w:pPr>
              <w:widowControl/>
              <w:shd w:val="clear" w:color="auto" w:fill="FFFFFF"/>
              <w:jc w:val="left"/>
              <w:rPr>
                <w:rFonts w:ascii="黑体" w:hAnsi="宋体" w:eastAsia="黑体" w:cs="宋体"/>
                <w:kern w:val="0"/>
                <w:sz w:val="22"/>
              </w:rPr>
            </w:pPr>
          </w:p>
        </w:tc>
        <w:tc>
          <w:tcPr>
            <w:tcW w:w="720" w:type="dxa"/>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lang w:eastAsia="zh-CN"/>
              </w:rPr>
              <w:t>区</w:t>
            </w:r>
            <w:r>
              <w:rPr>
                <w:rFonts w:hint="eastAsia" w:ascii="黑体" w:hAnsi="宋体" w:eastAsia="黑体" w:cs="宋体"/>
                <w:color w:val="000000"/>
                <w:kern w:val="0"/>
                <w:sz w:val="22"/>
              </w:rPr>
              <w:t>级</w:t>
            </w:r>
          </w:p>
        </w:tc>
        <w:tc>
          <w:tcPr>
            <w:tcW w:w="720" w:type="dxa"/>
            <w:vAlign w:val="center"/>
          </w:tcPr>
          <w:p>
            <w:pPr>
              <w:widowControl/>
              <w:shd w:val="clear" w:color="auto" w:fill="FFFFFF"/>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6" w:hRule="atLeast"/>
          <w:jc w:val="center"/>
        </w:trPr>
        <w:tc>
          <w:tcPr>
            <w:tcW w:w="540" w:type="dxa"/>
            <w:vAlign w:val="center"/>
          </w:tcPr>
          <w:p>
            <w:pPr>
              <w:widowControl/>
              <w:shd w:val="clear" w:color="auto" w:fill="FFFFFF"/>
              <w:jc w:val="center"/>
              <w:rPr>
                <w:color w:val="auto"/>
                <w:kern w:val="0"/>
                <w:sz w:val="16"/>
                <w:szCs w:val="16"/>
              </w:rPr>
            </w:pPr>
            <w:r>
              <w:rPr>
                <w:rFonts w:hint="eastAsia"/>
                <w:color w:val="auto"/>
                <w:kern w:val="0"/>
                <w:sz w:val="16"/>
                <w:szCs w:val="16"/>
              </w:rPr>
              <w:t>1</w:t>
            </w:r>
          </w:p>
        </w:tc>
        <w:tc>
          <w:tcPr>
            <w:tcW w:w="90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部门文件</w:t>
            </w:r>
          </w:p>
        </w:tc>
        <w:tc>
          <w:tcPr>
            <w:tcW w:w="126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农村危房改造相关文件</w:t>
            </w:r>
          </w:p>
        </w:tc>
        <w:tc>
          <w:tcPr>
            <w:tcW w:w="1980" w:type="dxa"/>
            <w:vAlign w:val="center"/>
          </w:tcPr>
          <w:p>
            <w:pPr>
              <w:widowControl/>
              <w:shd w:val="clear" w:color="auto" w:fill="FFFFFF"/>
              <w:rPr>
                <w:rFonts w:ascii="黑体" w:hAnsi="宋体" w:eastAsia="黑体" w:cs="宋体"/>
                <w:color w:val="auto"/>
                <w:kern w:val="0"/>
                <w:sz w:val="22"/>
              </w:rPr>
            </w:pPr>
            <w:r>
              <w:rPr>
                <w:rFonts w:hint="eastAsia" w:ascii="仿宋_GB2312" w:hAnsi="宋体" w:eastAsia="仿宋_GB2312"/>
                <w:color w:val="auto"/>
                <w:sz w:val="18"/>
                <w:szCs w:val="18"/>
              </w:rPr>
              <w:t>文件分类、生成日期、标题、文号、有效性、关键词和具体内容等</w:t>
            </w:r>
          </w:p>
        </w:tc>
        <w:tc>
          <w:tcPr>
            <w:tcW w:w="1800" w:type="dxa"/>
            <w:vAlign w:val="center"/>
          </w:tcPr>
          <w:p>
            <w:pPr>
              <w:widowControl/>
              <w:shd w:val="clear" w:color="auto" w:fill="FFFFFF"/>
              <w:rPr>
                <w:rFonts w:eastAsia="黑体"/>
                <w:color w:val="auto"/>
                <w:kern w:val="0"/>
                <w:sz w:val="22"/>
              </w:rPr>
            </w:pPr>
            <w:r>
              <w:rPr>
                <w:rFonts w:eastAsia="仿宋_GB2312"/>
                <w:color w:val="auto"/>
                <w:sz w:val="18"/>
                <w:szCs w:val="18"/>
              </w:rPr>
              <w:t>《政府信息公开条例》、《关于全面推进政务公开工作的意见》（中办发〔2016〕8号）及其实施细则</w:t>
            </w:r>
          </w:p>
        </w:tc>
        <w:tc>
          <w:tcPr>
            <w:tcW w:w="1402" w:type="dxa"/>
            <w:vAlign w:val="center"/>
          </w:tcPr>
          <w:p>
            <w:pPr>
              <w:widowControl/>
              <w:shd w:val="clear" w:color="auto" w:fill="FFFFFF"/>
              <w:rPr>
                <w:rFonts w:ascii="黑体" w:hAnsi="宋体" w:eastAsia="黑体" w:cs="宋体"/>
                <w:color w:val="auto"/>
                <w:kern w:val="0"/>
                <w:sz w:val="22"/>
              </w:rPr>
            </w:pPr>
            <w:r>
              <w:rPr>
                <w:rFonts w:hint="eastAsia" w:ascii="仿宋_GB2312" w:hAnsi="宋体" w:eastAsia="仿宋_GB2312"/>
                <w:color w:val="auto"/>
                <w:sz w:val="18"/>
                <w:szCs w:val="18"/>
              </w:rPr>
              <w:t>信息形成之日起20个工作日内</w:t>
            </w:r>
          </w:p>
        </w:tc>
        <w:tc>
          <w:tcPr>
            <w:tcW w:w="1440" w:type="dxa"/>
            <w:vAlign w:val="center"/>
          </w:tcPr>
          <w:p>
            <w:pPr>
              <w:widowControl/>
              <w:shd w:val="clear" w:color="auto" w:fill="FFFFFF"/>
              <w:rPr>
                <w:rFonts w:ascii="黑体" w:hAnsi="宋体" w:eastAsia="黑体" w:cs="宋体"/>
                <w:color w:val="auto"/>
                <w:kern w:val="0"/>
                <w:sz w:val="22"/>
              </w:rPr>
            </w:pPr>
            <w:r>
              <w:rPr>
                <w:rFonts w:hint="eastAsia" w:ascii="仿宋_GB2312" w:hAnsi="宋体" w:eastAsia="仿宋_GB2312"/>
                <w:color w:val="auto"/>
                <w:sz w:val="18"/>
                <w:szCs w:val="18"/>
              </w:rPr>
              <w:t>住房和城乡建设等相关职能部门</w:t>
            </w:r>
          </w:p>
        </w:tc>
        <w:tc>
          <w:tcPr>
            <w:tcW w:w="2018" w:type="dxa"/>
            <w:vAlign w:val="center"/>
          </w:tcPr>
          <w:p>
            <w:pPr>
              <w:widowControl/>
              <w:shd w:val="clear" w:color="auto" w:fill="FFFFFF"/>
              <w:rPr>
                <w:rFonts w:ascii="黑体" w:hAnsi="宋体" w:eastAsia="黑体" w:cs="宋体"/>
                <w:color w:val="auto"/>
                <w:kern w:val="0"/>
                <w:sz w:val="22"/>
              </w:rPr>
            </w:pPr>
            <w:r>
              <w:rPr>
                <w:rFonts w:hint="eastAsia" w:ascii="仿宋_GB2312" w:hAnsi="宋体" w:eastAsia="仿宋_GB2312"/>
                <w:color w:val="auto"/>
                <w:sz w:val="18"/>
                <w:szCs w:val="18"/>
              </w:rPr>
              <w:t>政府门户网站、政务新媒体、广播、电视、报纸、公示栏等平台和办事大厅、便民服务窗口等场所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2" w:hRule="atLeast"/>
          <w:jc w:val="center"/>
        </w:trPr>
        <w:tc>
          <w:tcPr>
            <w:tcW w:w="540" w:type="dxa"/>
            <w:vAlign w:val="center"/>
          </w:tcPr>
          <w:p>
            <w:pPr>
              <w:widowControl/>
              <w:shd w:val="clear" w:color="auto" w:fill="FFFFFF"/>
              <w:jc w:val="center"/>
              <w:rPr>
                <w:rFonts w:hint="eastAsia"/>
                <w:color w:val="auto"/>
                <w:kern w:val="0"/>
                <w:sz w:val="16"/>
                <w:szCs w:val="16"/>
              </w:rPr>
            </w:pPr>
            <w:r>
              <w:rPr>
                <w:rFonts w:hint="eastAsia"/>
                <w:color w:val="auto"/>
                <w:kern w:val="0"/>
                <w:sz w:val="16"/>
                <w:szCs w:val="16"/>
              </w:rPr>
              <w:t>2</w:t>
            </w:r>
          </w:p>
        </w:tc>
        <w:tc>
          <w:tcPr>
            <w:tcW w:w="90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政策解读</w:t>
            </w:r>
          </w:p>
        </w:tc>
        <w:tc>
          <w:tcPr>
            <w:tcW w:w="126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上级政策解读</w:t>
            </w:r>
          </w:p>
        </w:tc>
        <w:tc>
          <w:tcPr>
            <w:tcW w:w="1980" w:type="dxa"/>
            <w:vAlign w:val="center"/>
          </w:tcPr>
          <w:p>
            <w:pPr>
              <w:widowControl/>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着重解读政策措施的背景依据、目标任务、主要内容、涉及范围、执行标准，以及注意事项、关键词诠释、惠民利民举措、新旧政策差异等。</w:t>
            </w:r>
          </w:p>
        </w:tc>
        <w:tc>
          <w:tcPr>
            <w:tcW w:w="1800" w:type="dxa"/>
            <w:vAlign w:val="center"/>
          </w:tcPr>
          <w:p>
            <w:pPr>
              <w:widowControl/>
              <w:shd w:val="clear" w:color="auto" w:fill="FFFFFF"/>
              <w:rPr>
                <w:rFonts w:eastAsia="仿宋_GB2312"/>
                <w:color w:val="auto"/>
                <w:sz w:val="18"/>
                <w:szCs w:val="18"/>
              </w:rPr>
            </w:pPr>
            <w:r>
              <w:rPr>
                <w:rFonts w:eastAsia="仿宋_GB2312"/>
                <w:color w:val="auto"/>
                <w:sz w:val="18"/>
                <w:szCs w:val="18"/>
              </w:rPr>
              <w:t>《政府信息公开条例》、《关于全面推进政务公开工作的意见》（中办发〔2016〕8号）及其实施细则</w:t>
            </w:r>
          </w:p>
        </w:tc>
        <w:tc>
          <w:tcPr>
            <w:tcW w:w="1402" w:type="dxa"/>
            <w:vAlign w:val="center"/>
          </w:tcPr>
          <w:p>
            <w:pPr>
              <w:widowControl/>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vAlign w:val="center"/>
          </w:tcPr>
          <w:p>
            <w:pPr>
              <w:widowControl/>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住房和城乡建设等相关职能部门</w:t>
            </w:r>
          </w:p>
        </w:tc>
        <w:tc>
          <w:tcPr>
            <w:tcW w:w="2018" w:type="dxa"/>
            <w:vAlign w:val="center"/>
          </w:tcPr>
          <w:p>
            <w:pPr>
              <w:widowControl/>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政府门户网站、政务新媒体、广播、电视、报纸、公示栏等平台和办事大厅、便民服务窗口等场所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hd w:val="clear" w:color="auto" w:fill="FFFFFF"/>
              <w:jc w:val="center"/>
              <w:rPr>
                <w:rFonts w:hint="eastAsia" w:eastAsia="宋体"/>
                <w:color w:val="auto"/>
                <w:kern w:val="0"/>
                <w:sz w:val="16"/>
                <w:szCs w:val="16"/>
                <w:lang w:eastAsia="zh-CN"/>
              </w:rPr>
            </w:pPr>
            <w:r>
              <w:rPr>
                <w:rFonts w:hint="eastAsia"/>
                <w:color w:val="auto"/>
                <w:kern w:val="0"/>
                <w:sz w:val="16"/>
                <w:szCs w:val="16"/>
                <w:lang w:val="en-US" w:eastAsia="zh-CN"/>
              </w:rPr>
              <w:t>3</w:t>
            </w:r>
          </w:p>
        </w:tc>
        <w:tc>
          <w:tcPr>
            <w:tcW w:w="90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计划实施</w:t>
            </w:r>
          </w:p>
        </w:tc>
        <w:tc>
          <w:tcPr>
            <w:tcW w:w="126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任务分配</w:t>
            </w:r>
          </w:p>
        </w:tc>
        <w:tc>
          <w:tcPr>
            <w:tcW w:w="198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及时公开农村危房改造补助农户名单</w:t>
            </w:r>
          </w:p>
        </w:tc>
        <w:tc>
          <w:tcPr>
            <w:tcW w:w="1800" w:type="dxa"/>
            <w:vAlign w:val="center"/>
          </w:tcPr>
          <w:p>
            <w:pPr>
              <w:widowControl/>
              <w:shd w:val="clear" w:color="auto" w:fill="FFFFFF"/>
              <w:rPr>
                <w:rFonts w:eastAsia="仿宋_GB2312"/>
                <w:color w:val="auto"/>
                <w:sz w:val="18"/>
                <w:szCs w:val="18"/>
              </w:rPr>
            </w:pPr>
            <w:r>
              <w:rPr>
                <w:rFonts w:eastAsia="仿宋_GB2312"/>
                <w:color w:val="auto"/>
                <w:sz w:val="18"/>
                <w:szCs w:val="18"/>
              </w:rPr>
              <w:t>《住房城乡建设部 财政部 国务院扶贫办关于加强和完善建档立卡贫困户等重点对象农村危房改造若干问题的通知》（建村〔2017〕192号）等</w:t>
            </w:r>
          </w:p>
        </w:tc>
        <w:tc>
          <w:tcPr>
            <w:tcW w:w="1402" w:type="dxa"/>
            <w:vAlign w:val="center"/>
          </w:tcPr>
          <w:p>
            <w:pPr>
              <w:widowControl/>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分配结果确定后20个工作日内</w:t>
            </w:r>
          </w:p>
        </w:tc>
        <w:tc>
          <w:tcPr>
            <w:tcW w:w="144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住房和城乡建设等相关职能部门</w:t>
            </w:r>
          </w:p>
        </w:tc>
        <w:tc>
          <w:tcPr>
            <w:tcW w:w="2018"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办事大厅、公示栏、便民服务窗口等场所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p>
          <w:p>
            <w:pPr>
              <w:shd w:val="clear" w:color="auto" w:fill="FFFFFF"/>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hd w:val="clear" w:color="auto" w:fill="FFFFFF"/>
              <w:jc w:val="center"/>
              <w:rPr>
                <w:rFonts w:hint="eastAsia" w:eastAsia="宋体"/>
                <w:color w:val="auto"/>
                <w:kern w:val="0"/>
                <w:sz w:val="16"/>
                <w:szCs w:val="16"/>
                <w:lang w:val="en-US" w:eastAsia="zh-CN"/>
              </w:rPr>
            </w:pPr>
            <w:r>
              <w:rPr>
                <w:rFonts w:hint="eastAsia"/>
                <w:color w:val="auto"/>
                <w:kern w:val="0"/>
                <w:sz w:val="16"/>
                <w:szCs w:val="16"/>
                <w:lang w:val="en-US" w:eastAsia="zh-CN"/>
              </w:rPr>
              <w:t>4</w:t>
            </w:r>
          </w:p>
        </w:tc>
        <w:tc>
          <w:tcPr>
            <w:tcW w:w="900" w:type="dxa"/>
            <w:vMerge w:val="restart"/>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条件与标准</w:t>
            </w:r>
          </w:p>
        </w:tc>
        <w:tc>
          <w:tcPr>
            <w:tcW w:w="126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农村危房等级评定标准</w:t>
            </w:r>
          </w:p>
        </w:tc>
        <w:tc>
          <w:tcPr>
            <w:tcW w:w="198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农村危房等级评定相关标准</w:t>
            </w:r>
          </w:p>
        </w:tc>
        <w:tc>
          <w:tcPr>
            <w:tcW w:w="1800" w:type="dxa"/>
            <w:vAlign w:val="center"/>
          </w:tcPr>
          <w:p>
            <w:pPr>
              <w:shd w:val="clear" w:color="auto" w:fill="FFFFFF"/>
              <w:rPr>
                <w:rFonts w:eastAsia="仿宋_GB2312"/>
                <w:color w:val="auto"/>
                <w:sz w:val="18"/>
                <w:szCs w:val="18"/>
              </w:rPr>
            </w:pPr>
            <w:r>
              <w:rPr>
                <w:rFonts w:eastAsia="仿宋_GB2312"/>
                <w:color w:val="auto"/>
                <w:sz w:val="18"/>
                <w:szCs w:val="18"/>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402"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住房和城乡建设部门</w:t>
            </w:r>
          </w:p>
        </w:tc>
        <w:tc>
          <w:tcPr>
            <w:tcW w:w="2018"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hd w:val="clear" w:color="auto" w:fill="FFFFFF"/>
              <w:jc w:val="center"/>
              <w:rPr>
                <w:rFonts w:hint="eastAsia" w:eastAsia="宋体"/>
                <w:color w:val="auto"/>
                <w:kern w:val="0"/>
                <w:sz w:val="16"/>
                <w:szCs w:val="16"/>
                <w:lang w:val="en-US" w:eastAsia="zh-CN"/>
              </w:rPr>
            </w:pPr>
            <w:r>
              <w:rPr>
                <w:rFonts w:hint="eastAsia"/>
                <w:color w:val="auto"/>
                <w:kern w:val="0"/>
                <w:sz w:val="16"/>
                <w:szCs w:val="16"/>
                <w:lang w:val="en-US" w:eastAsia="zh-CN"/>
              </w:rPr>
              <w:t>5</w:t>
            </w:r>
          </w:p>
        </w:tc>
        <w:tc>
          <w:tcPr>
            <w:tcW w:w="900" w:type="dxa"/>
            <w:vMerge w:val="continue"/>
            <w:vAlign w:val="center"/>
          </w:tcPr>
          <w:p>
            <w:pPr>
              <w:shd w:val="clear" w:color="auto" w:fill="FFFFFF"/>
              <w:jc w:val="center"/>
              <w:rPr>
                <w:rFonts w:hint="eastAsia" w:ascii="仿宋_GB2312" w:hAnsi="宋体" w:eastAsia="仿宋_GB2312"/>
                <w:color w:val="auto"/>
                <w:sz w:val="18"/>
                <w:szCs w:val="18"/>
              </w:rPr>
            </w:pPr>
          </w:p>
        </w:tc>
        <w:tc>
          <w:tcPr>
            <w:tcW w:w="126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农村危房改造对象申请条件</w:t>
            </w:r>
          </w:p>
        </w:tc>
        <w:tc>
          <w:tcPr>
            <w:tcW w:w="198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农村危房改造农户申请条件</w:t>
            </w:r>
          </w:p>
        </w:tc>
        <w:tc>
          <w:tcPr>
            <w:tcW w:w="1800" w:type="dxa"/>
            <w:vAlign w:val="center"/>
          </w:tcPr>
          <w:p>
            <w:pPr>
              <w:shd w:val="clear" w:color="auto" w:fill="FFFFFF"/>
              <w:jc w:val="center"/>
              <w:rPr>
                <w:rFonts w:eastAsia="仿宋_GB2312"/>
                <w:color w:val="auto"/>
                <w:sz w:val="18"/>
                <w:szCs w:val="18"/>
              </w:rPr>
            </w:pPr>
            <w:r>
              <w:rPr>
                <w:rFonts w:eastAsia="仿宋_GB2312"/>
                <w:color w:val="auto"/>
                <w:sz w:val="18"/>
                <w:szCs w:val="18"/>
              </w:rPr>
              <w:t>同上</w:t>
            </w:r>
          </w:p>
        </w:tc>
        <w:tc>
          <w:tcPr>
            <w:tcW w:w="1402"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住房和城乡建设等相关职能部门</w:t>
            </w:r>
          </w:p>
        </w:tc>
        <w:tc>
          <w:tcPr>
            <w:tcW w:w="2018"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hd w:val="clear" w:color="auto" w:fill="FFFFFF"/>
              <w:jc w:val="center"/>
              <w:rPr>
                <w:rFonts w:hint="eastAsia"/>
                <w:color w:val="auto"/>
                <w:kern w:val="0"/>
                <w:sz w:val="16"/>
                <w:szCs w:val="16"/>
              </w:rPr>
            </w:pPr>
            <w:r>
              <w:rPr>
                <w:rFonts w:hint="eastAsia"/>
                <w:color w:val="auto"/>
                <w:kern w:val="0"/>
                <w:sz w:val="16"/>
                <w:szCs w:val="16"/>
              </w:rPr>
              <w:t>6</w:t>
            </w:r>
          </w:p>
        </w:tc>
        <w:tc>
          <w:tcPr>
            <w:tcW w:w="900" w:type="dxa"/>
            <w:vMerge w:val="restart"/>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条件与标准</w:t>
            </w:r>
          </w:p>
        </w:tc>
        <w:tc>
          <w:tcPr>
            <w:tcW w:w="126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农村危房改造资金补助标准</w:t>
            </w:r>
          </w:p>
        </w:tc>
        <w:tc>
          <w:tcPr>
            <w:tcW w:w="198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农村危房改造资金补助标准</w:t>
            </w:r>
          </w:p>
        </w:tc>
        <w:tc>
          <w:tcPr>
            <w:tcW w:w="1800" w:type="dxa"/>
            <w:vAlign w:val="center"/>
          </w:tcPr>
          <w:p>
            <w:pPr>
              <w:shd w:val="clear" w:color="auto" w:fill="FFFFFF"/>
              <w:jc w:val="center"/>
              <w:rPr>
                <w:rFonts w:eastAsia="仿宋_GB2312"/>
                <w:color w:val="auto"/>
                <w:sz w:val="18"/>
                <w:szCs w:val="18"/>
              </w:rPr>
            </w:pPr>
            <w:r>
              <w:rPr>
                <w:rFonts w:eastAsia="仿宋_GB2312"/>
                <w:color w:val="auto"/>
                <w:sz w:val="18"/>
                <w:szCs w:val="18"/>
              </w:rPr>
              <w:t>同上</w:t>
            </w:r>
          </w:p>
        </w:tc>
        <w:tc>
          <w:tcPr>
            <w:tcW w:w="1402"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住房和城乡建设部门、财政等部门</w:t>
            </w:r>
          </w:p>
        </w:tc>
        <w:tc>
          <w:tcPr>
            <w:tcW w:w="2018"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hd w:val="clear" w:color="auto" w:fill="FFFFFF"/>
              <w:jc w:val="center"/>
              <w:rPr>
                <w:rFonts w:hint="eastAsia"/>
                <w:color w:val="auto"/>
                <w:kern w:val="0"/>
                <w:sz w:val="16"/>
                <w:szCs w:val="16"/>
              </w:rPr>
            </w:pPr>
            <w:r>
              <w:rPr>
                <w:rFonts w:hint="eastAsia"/>
                <w:color w:val="auto"/>
                <w:kern w:val="0"/>
                <w:sz w:val="16"/>
                <w:szCs w:val="16"/>
              </w:rPr>
              <w:t>7</w:t>
            </w:r>
          </w:p>
        </w:tc>
        <w:tc>
          <w:tcPr>
            <w:tcW w:w="900" w:type="dxa"/>
            <w:vMerge w:val="continue"/>
            <w:vAlign w:val="center"/>
          </w:tcPr>
          <w:p>
            <w:pPr>
              <w:shd w:val="clear" w:color="auto" w:fill="FFFFFF"/>
              <w:jc w:val="center"/>
              <w:rPr>
                <w:rFonts w:hint="eastAsia" w:ascii="仿宋_GB2312" w:hAnsi="宋体" w:eastAsia="仿宋_GB2312"/>
                <w:color w:val="auto"/>
                <w:sz w:val="18"/>
                <w:szCs w:val="18"/>
              </w:rPr>
            </w:pPr>
          </w:p>
        </w:tc>
        <w:tc>
          <w:tcPr>
            <w:tcW w:w="126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农村危房改造竣工合格标准</w:t>
            </w:r>
          </w:p>
        </w:tc>
        <w:tc>
          <w:tcPr>
            <w:tcW w:w="198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农村危房改造竣工验收要求</w:t>
            </w:r>
          </w:p>
        </w:tc>
        <w:tc>
          <w:tcPr>
            <w:tcW w:w="1800" w:type="dxa"/>
            <w:vAlign w:val="center"/>
          </w:tcPr>
          <w:p>
            <w:pPr>
              <w:shd w:val="clear" w:color="auto" w:fill="FFFFFF"/>
              <w:jc w:val="center"/>
              <w:rPr>
                <w:rFonts w:eastAsia="仿宋_GB2312"/>
                <w:color w:val="auto"/>
                <w:sz w:val="18"/>
                <w:szCs w:val="18"/>
              </w:rPr>
            </w:pPr>
            <w:r>
              <w:rPr>
                <w:rFonts w:eastAsia="仿宋_GB2312"/>
                <w:color w:val="auto"/>
                <w:sz w:val="18"/>
                <w:szCs w:val="18"/>
              </w:rPr>
              <w:t>同上</w:t>
            </w:r>
          </w:p>
        </w:tc>
        <w:tc>
          <w:tcPr>
            <w:tcW w:w="1402"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住房和城乡建设部门</w:t>
            </w:r>
          </w:p>
        </w:tc>
        <w:tc>
          <w:tcPr>
            <w:tcW w:w="2018"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hd w:val="clear" w:color="auto" w:fill="FFFFFF"/>
              <w:jc w:val="center"/>
              <w:rPr>
                <w:rFonts w:hint="eastAsia"/>
                <w:color w:val="auto"/>
                <w:kern w:val="0"/>
                <w:sz w:val="16"/>
                <w:szCs w:val="16"/>
              </w:rPr>
            </w:pPr>
            <w:r>
              <w:rPr>
                <w:rFonts w:hint="eastAsia"/>
                <w:color w:val="auto"/>
                <w:kern w:val="0"/>
                <w:sz w:val="16"/>
                <w:szCs w:val="16"/>
              </w:rPr>
              <w:t>8</w:t>
            </w:r>
          </w:p>
        </w:tc>
        <w:tc>
          <w:tcPr>
            <w:tcW w:w="900" w:type="dxa"/>
            <w:vMerge w:val="restart"/>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对象认定</w:t>
            </w:r>
          </w:p>
        </w:tc>
        <w:tc>
          <w:tcPr>
            <w:tcW w:w="126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危改户认定程序</w:t>
            </w:r>
          </w:p>
        </w:tc>
        <w:tc>
          <w:tcPr>
            <w:tcW w:w="198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农村危房改造申请程序</w:t>
            </w:r>
          </w:p>
        </w:tc>
        <w:tc>
          <w:tcPr>
            <w:tcW w:w="1800" w:type="dxa"/>
            <w:vAlign w:val="center"/>
          </w:tcPr>
          <w:p>
            <w:pPr>
              <w:shd w:val="clear" w:color="auto" w:fill="FFFFFF"/>
              <w:jc w:val="center"/>
              <w:rPr>
                <w:rFonts w:eastAsia="仿宋_GB2312"/>
                <w:color w:val="auto"/>
                <w:sz w:val="18"/>
                <w:szCs w:val="18"/>
              </w:rPr>
            </w:pPr>
            <w:r>
              <w:rPr>
                <w:rFonts w:eastAsia="仿宋_GB2312"/>
                <w:color w:val="auto"/>
                <w:sz w:val="18"/>
                <w:szCs w:val="18"/>
              </w:rPr>
              <w:t>同上</w:t>
            </w:r>
          </w:p>
        </w:tc>
        <w:tc>
          <w:tcPr>
            <w:tcW w:w="1402"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区</w:t>
            </w:r>
            <w:r>
              <w:rPr>
                <w:rFonts w:hint="eastAsia" w:ascii="仿宋_GB2312" w:hAnsi="宋体" w:eastAsia="仿宋_GB2312"/>
                <w:color w:val="auto"/>
                <w:sz w:val="18"/>
                <w:szCs w:val="18"/>
              </w:rPr>
              <w:t>级住房和城乡建设部门</w:t>
            </w:r>
          </w:p>
        </w:tc>
        <w:tc>
          <w:tcPr>
            <w:tcW w:w="2018"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hd w:val="clear" w:color="auto" w:fill="FFFFFF"/>
              <w:jc w:val="center"/>
              <w:rPr>
                <w:rFonts w:hint="eastAsia"/>
                <w:color w:val="auto"/>
                <w:kern w:val="0"/>
                <w:sz w:val="16"/>
                <w:szCs w:val="16"/>
              </w:rPr>
            </w:pPr>
            <w:r>
              <w:rPr>
                <w:rFonts w:hint="eastAsia"/>
                <w:color w:val="auto"/>
                <w:kern w:val="0"/>
                <w:sz w:val="16"/>
                <w:szCs w:val="16"/>
              </w:rPr>
              <w:t>9</w:t>
            </w:r>
          </w:p>
        </w:tc>
        <w:tc>
          <w:tcPr>
            <w:tcW w:w="900" w:type="dxa"/>
            <w:vMerge w:val="continue"/>
            <w:vAlign w:val="center"/>
          </w:tcPr>
          <w:p>
            <w:pPr>
              <w:shd w:val="clear" w:color="auto" w:fill="FFFFFF"/>
              <w:jc w:val="center"/>
              <w:rPr>
                <w:rFonts w:hint="eastAsia" w:ascii="仿宋_GB2312" w:hAnsi="宋体" w:eastAsia="仿宋_GB2312"/>
                <w:color w:val="auto"/>
                <w:sz w:val="18"/>
                <w:szCs w:val="18"/>
              </w:rPr>
            </w:pPr>
          </w:p>
        </w:tc>
        <w:tc>
          <w:tcPr>
            <w:tcW w:w="126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认定结果</w:t>
            </w:r>
          </w:p>
        </w:tc>
        <w:tc>
          <w:tcPr>
            <w:tcW w:w="198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认定结果</w:t>
            </w:r>
          </w:p>
        </w:tc>
        <w:tc>
          <w:tcPr>
            <w:tcW w:w="1800" w:type="dxa"/>
            <w:vAlign w:val="center"/>
          </w:tcPr>
          <w:p>
            <w:pPr>
              <w:shd w:val="clear" w:color="auto" w:fill="FFFFFF"/>
              <w:jc w:val="center"/>
              <w:rPr>
                <w:rFonts w:eastAsia="仿宋_GB2312"/>
                <w:color w:val="auto"/>
                <w:sz w:val="18"/>
                <w:szCs w:val="18"/>
              </w:rPr>
            </w:pPr>
            <w:r>
              <w:rPr>
                <w:rFonts w:eastAsia="仿宋_GB2312"/>
                <w:color w:val="auto"/>
                <w:sz w:val="18"/>
                <w:szCs w:val="18"/>
              </w:rPr>
              <w:t>同上</w:t>
            </w:r>
          </w:p>
        </w:tc>
        <w:tc>
          <w:tcPr>
            <w:tcW w:w="1402"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乡镇人民政府、村委会</w:t>
            </w:r>
          </w:p>
        </w:tc>
        <w:tc>
          <w:tcPr>
            <w:tcW w:w="2018"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办事大厅、公示栏、便民服务窗口等场所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lang w:val="en-US" w:eastAsia="zh-CN"/>
              </w:rPr>
            </w:pP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hd w:val="clear" w:color="auto" w:fill="FFFFFF"/>
              <w:jc w:val="center"/>
              <w:rPr>
                <w:rFonts w:hint="eastAsia"/>
                <w:color w:val="auto"/>
                <w:kern w:val="0"/>
                <w:sz w:val="16"/>
                <w:szCs w:val="16"/>
              </w:rPr>
            </w:pPr>
            <w:r>
              <w:rPr>
                <w:rFonts w:hint="eastAsia"/>
                <w:color w:val="auto"/>
                <w:kern w:val="0"/>
                <w:sz w:val="16"/>
                <w:szCs w:val="16"/>
              </w:rPr>
              <w:t>10</w:t>
            </w:r>
          </w:p>
        </w:tc>
        <w:tc>
          <w:tcPr>
            <w:tcW w:w="900" w:type="dxa"/>
            <w:vMerge w:val="restart"/>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舆情收集、热点及关键问题回应</w:t>
            </w:r>
          </w:p>
        </w:tc>
        <w:tc>
          <w:tcPr>
            <w:tcW w:w="126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舆情收集回应</w:t>
            </w:r>
          </w:p>
        </w:tc>
        <w:tc>
          <w:tcPr>
            <w:tcW w:w="198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接受投诉、咨询、建议等联系电话、通信地址等</w:t>
            </w:r>
          </w:p>
        </w:tc>
        <w:tc>
          <w:tcPr>
            <w:tcW w:w="1800" w:type="dxa"/>
            <w:vMerge w:val="restart"/>
            <w:vAlign w:val="center"/>
          </w:tcPr>
          <w:p>
            <w:pPr>
              <w:shd w:val="clear" w:color="auto" w:fill="FFFFFF"/>
              <w:spacing w:line="400" w:lineRule="exact"/>
              <w:rPr>
                <w:rFonts w:eastAsia="仿宋_GB2312"/>
                <w:color w:val="auto"/>
                <w:sz w:val="18"/>
                <w:szCs w:val="18"/>
              </w:rPr>
            </w:pPr>
            <w:r>
              <w:rPr>
                <w:rFonts w:eastAsia="仿宋_GB2312"/>
                <w:color w:val="auto"/>
                <w:sz w:val="18"/>
                <w:szCs w:val="18"/>
              </w:rPr>
              <w:t>《政府信息公开条例》、《关于全面推进政务公开工作的意见》（中办发〔2016〕8号）及其实施细则</w:t>
            </w:r>
          </w:p>
        </w:tc>
        <w:tc>
          <w:tcPr>
            <w:tcW w:w="1402" w:type="dxa"/>
            <w:vAlign w:val="center"/>
          </w:tcPr>
          <w:p>
            <w:pPr>
              <w:shd w:val="clear" w:color="auto" w:fill="FFFFFF"/>
              <w:ind w:right="-304" w:rightChars="-145"/>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w:t>
            </w:r>
          </w:p>
          <w:p>
            <w:pPr>
              <w:shd w:val="clear" w:color="auto" w:fill="FFFFFF"/>
              <w:ind w:right="-304" w:rightChars="-145"/>
              <w:rPr>
                <w:rFonts w:hint="eastAsia" w:ascii="仿宋_GB2312" w:hAnsi="宋体" w:eastAsia="仿宋_GB2312"/>
                <w:color w:val="auto"/>
                <w:sz w:val="18"/>
                <w:szCs w:val="18"/>
              </w:rPr>
            </w:pPr>
            <w:r>
              <w:rPr>
                <w:rFonts w:hint="eastAsia" w:ascii="仿宋_GB2312" w:hAnsi="宋体" w:eastAsia="仿宋_GB2312"/>
                <w:color w:val="auto"/>
                <w:sz w:val="18"/>
                <w:szCs w:val="18"/>
              </w:rPr>
              <w:t>起20个工作日</w:t>
            </w:r>
          </w:p>
          <w:p>
            <w:pPr>
              <w:shd w:val="clear" w:color="auto" w:fill="FFFFFF"/>
              <w:ind w:right="-304" w:rightChars="-145"/>
              <w:rPr>
                <w:rFonts w:hint="eastAsia" w:ascii="仿宋_GB2312" w:hAnsi="宋体" w:eastAsia="仿宋_GB2312"/>
                <w:color w:val="auto"/>
                <w:sz w:val="18"/>
                <w:szCs w:val="18"/>
              </w:rPr>
            </w:pPr>
            <w:r>
              <w:rPr>
                <w:rFonts w:hint="eastAsia" w:ascii="仿宋_GB2312" w:hAnsi="宋体" w:eastAsia="仿宋_GB2312"/>
                <w:color w:val="auto"/>
                <w:sz w:val="18"/>
                <w:szCs w:val="18"/>
              </w:rPr>
              <w:t>内及时发布信息；</w:t>
            </w:r>
          </w:p>
        </w:tc>
        <w:tc>
          <w:tcPr>
            <w:tcW w:w="144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省、市、</w:t>
            </w:r>
            <w:r>
              <w:rPr>
                <w:rFonts w:hint="eastAsia" w:ascii="仿宋_GB2312" w:hAnsi="宋体" w:eastAsia="仿宋_GB2312"/>
                <w:color w:val="auto"/>
                <w:sz w:val="18"/>
                <w:szCs w:val="18"/>
                <w:lang w:eastAsia="zh-CN"/>
              </w:rPr>
              <w:t>区</w:t>
            </w:r>
            <w:r>
              <w:rPr>
                <w:rFonts w:hint="eastAsia" w:ascii="仿宋_GB2312" w:hAnsi="宋体" w:eastAsia="仿宋_GB2312"/>
                <w:color w:val="auto"/>
                <w:sz w:val="18"/>
                <w:szCs w:val="18"/>
              </w:rPr>
              <w:t>级住房和城乡建设等相关职能部门</w:t>
            </w:r>
          </w:p>
        </w:tc>
        <w:tc>
          <w:tcPr>
            <w:tcW w:w="2018"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政府门户网站、政务新媒体、广播、电视、报纸、公示栏等平台和办事大厅、便民服务窗口等场所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hd w:val="clear" w:color="auto" w:fill="FFFFFF"/>
              <w:jc w:val="center"/>
              <w:rPr>
                <w:rFonts w:hint="eastAsia"/>
                <w:color w:val="auto"/>
                <w:kern w:val="0"/>
                <w:sz w:val="16"/>
                <w:szCs w:val="16"/>
              </w:rPr>
            </w:pPr>
            <w:r>
              <w:rPr>
                <w:rFonts w:hint="eastAsia"/>
                <w:color w:val="auto"/>
                <w:kern w:val="0"/>
                <w:sz w:val="16"/>
                <w:szCs w:val="16"/>
              </w:rPr>
              <w:t>11</w:t>
            </w:r>
          </w:p>
        </w:tc>
        <w:tc>
          <w:tcPr>
            <w:tcW w:w="900" w:type="dxa"/>
            <w:vMerge w:val="continue"/>
            <w:vAlign w:val="center"/>
          </w:tcPr>
          <w:p>
            <w:pPr>
              <w:shd w:val="clear" w:color="auto" w:fill="FFFFFF"/>
              <w:jc w:val="center"/>
              <w:rPr>
                <w:rFonts w:hint="eastAsia" w:ascii="仿宋_GB2312" w:hAnsi="宋体" w:eastAsia="仿宋_GB2312"/>
                <w:color w:val="auto"/>
                <w:sz w:val="18"/>
                <w:szCs w:val="18"/>
              </w:rPr>
            </w:pPr>
          </w:p>
        </w:tc>
        <w:tc>
          <w:tcPr>
            <w:tcW w:w="126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互动回应</w:t>
            </w:r>
          </w:p>
        </w:tc>
        <w:tc>
          <w:tcPr>
            <w:tcW w:w="198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涉及群众切身利益和舆论关注的焦点、热点及关键问题等回应内容</w:t>
            </w:r>
          </w:p>
        </w:tc>
        <w:tc>
          <w:tcPr>
            <w:tcW w:w="1800" w:type="dxa"/>
            <w:vMerge w:val="continue"/>
            <w:vAlign w:val="center"/>
          </w:tcPr>
          <w:p>
            <w:pPr>
              <w:shd w:val="clear" w:color="auto" w:fill="FFFFFF"/>
              <w:rPr>
                <w:rFonts w:hint="eastAsia" w:ascii="仿宋_GB2312" w:hAnsi="宋体" w:eastAsia="仿宋_GB2312"/>
                <w:color w:val="auto"/>
                <w:sz w:val="18"/>
                <w:szCs w:val="18"/>
              </w:rPr>
            </w:pPr>
          </w:p>
        </w:tc>
        <w:tc>
          <w:tcPr>
            <w:tcW w:w="1402"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对涉及重大舆情的，要快速反应，并根据工作进展情况，持续发布信息。</w:t>
            </w:r>
          </w:p>
        </w:tc>
        <w:tc>
          <w:tcPr>
            <w:tcW w:w="1440"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辖区政府、</w:t>
            </w:r>
            <w:r>
              <w:rPr>
                <w:rFonts w:hint="eastAsia" w:ascii="仿宋_GB2312" w:hAnsi="宋体" w:eastAsia="仿宋_GB2312"/>
                <w:color w:val="auto"/>
                <w:sz w:val="18"/>
                <w:szCs w:val="18"/>
                <w:lang w:eastAsia="zh-CN"/>
              </w:rPr>
              <w:t>区</w:t>
            </w:r>
            <w:r>
              <w:rPr>
                <w:rFonts w:hint="eastAsia" w:ascii="仿宋_GB2312" w:hAnsi="宋体" w:eastAsia="仿宋_GB2312"/>
                <w:color w:val="auto"/>
                <w:sz w:val="18"/>
                <w:szCs w:val="18"/>
              </w:rPr>
              <w:t>级住房和城乡建设等相关职能部门</w:t>
            </w:r>
          </w:p>
        </w:tc>
        <w:tc>
          <w:tcPr>
            <w:tcW w:w="2018" w:type="dxa"/>
            <w:vAlign w:val="center"/>
          </w:tcPr>
          <w:p>
            <w:pPr>
              <w:shd w:val="clear" w:color="auto" w:fill="FFFFFF"/>
              <w:rPr>
                <w:rFonts w:hint="eastAsia" w:ascii="仿宋_GB2312" w:hAnsi="宋体" w:eastAsia="仿宋_GB2312"/>
                <w:color w:val="auto"/>
                <w:sz w:val="18"/>
                <w:szCs w:val="18"/>
              </w:rPr>
            </w:pPr>
            <w:r>
              <w:rPr>
                <w:rFonts w:hint="eastAsia" w:ascii="仿宋_GB2312" w:hAnsi="宋体" w:eastAsia="仿宋_GB2312"/>
                <w:color w:val="auto"/>
                <w:sz w:val="18"/>
                <w:szCs w:val="18"/>
              </w:rPr>
              <w:t>办事大厅、公示栏、便民服务窗口等场所</w:t>
            </w: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Align w:val="center"/>
          </w:tcPr>
          <w:p>
            <w:pPr>
              <w:shd w:val="clear" w:color="auto" w:fill="FFFFFF"/>
              <w:jc w:val="center"/>
              <w:rPr>
                <w:rFonts w:hint="eastAsia" w:ascii="仿宋_GB2312" w:hAnsi="宋体" w:eastAsia="仿宋_GB2312"/>
                <w:color w:val="auto"/>
                <w:sz w:val="18"/>
                <w:szCs w:val="18"/>
              </w:rPr>
            </w:pPr>
          </w:p>
        </w:tc>
        <w:tc>
          <w:tcPr>
            <w:tcW w:w="551"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p>
        </w:tc>
        <w:tc>
          <w:tcPr>
            <w:tcW w:w="720" w:type="dxa"/>
            <w:vAlign w:val="center"/>
          </w:tcPr>
          <w:p>
            <w:pPr>
              <w:shd w:val="clear" w:color="auto" w:fill="FFFFFF"/>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bl>
    <w:p>
      <w:pPr>
        <w:spacing w:line="600" w:lineRule="exact"/>
        <w:rPr>
          <w:rFonts w:eastAsia="仿宋_GB2312"/>
          <w:color w:val="000000"/>
          <w:sz w:val="28"/>
          <w:szCs w:val="28"/>
          <w:u w:val="thick"/>
        </w:rPr>
      </w:pPr>
    </w:p>
    <w:p/>
    <w:sectPr>
      <w:headerReference r:id="rId3" w:type="default"/>
      <w:footerReference r:id="rId4" w:type="default"/>
      <w:pgSz w:w="16838" w:h="11906" w:orient="landscape"/>
      <w:pgMar w:top="1588" w:right="1701" w:bottom="1418" w:left="1701" w:header="851" w:footer="1418" w:gutter="0"/>
      <w:pgNumType w:fmt="decimalFullWidt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y="1"/>
      <w:ind w:right="360" w:firstLine="360"/>
      <w:rPr>
        <w:rStyle w:val="5"/>
        <w:rFonts w:hint="eastAsia"/>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5"/>
                              <w:spacing w:val="30"/>
                              <w:sz w:val="28"/>
                              <w:szCs w:val="28"/>
                            </w:rPr>
                          </w:pPr>
                          <w:r>
                            <w:rPr>
                              <w:rStyle w:val="5"/>
                              <w:rFonts w:hint="eastAsia" w:ascii="宋体" w:hAnsi="宋体"/>
                              <w:spacing w:val="30"/>
                              <w:sz w:val="28"/>
                              <w:szCs w:val="28"/>
                            </w:rPr>
                            <w:t>—</w:t>
                          </w:r>
                          <w:r>
                            <w:rPr>
                              <w:spacing w:val="30"/>
                              <w:sz w:val="28"/>
                              <w:szCs w:val="28"/>
                            </w:rPr>
                            <w:fldChar w:fldCharType="begin"/>
                          </w:r>
                          <w:r>
                            <w:rPr>
                              <w:rStyle w:val="5"/>
                              <w:spacing w:val="30"/>
                              <w:sz w:val="28"/>
                              <w:szCs w:val="28"/>
                            </w:rPr>
                            <w:instrText xml:space="preserve">PAGE  </w:instrText>
                          </w:r>
                          <w:r>
                            <w:rPr>
                              <w:spacing w:val="30"/>
                              <w:sz w:val="28"/>
                              <w:szCs w:val="28"/>
                            </w:rPr>
                            <w:fldChar w:fldCharType="separate"/>
                          </w:r>
                          <w:r>
                            <w:rPr>
                              <w:rStyle w:val="5"/>
                              <w:rFonts w:hint="eastAsia"/>
                              <w:spacing w:val="30"/>
                              <w:sz w:val="28"/>
                              <w:szCs w:val="28"/>
                            </w:rPr>
                            <w:t>９</w:t>
                          </w:r>
                          <w:r>
                            <w:rPr>
                              <w:spacing w:val="30"/>
                              <w:sz w:val="28"/>
                              <w:szCs w:val="28"/>
                            </w:rPr>
                            <w:fldChar w:fldCharType="end"/>
                          </w:r>
                          <w:r>
                            <w:rPr>
                              <w:rStyle w:val="5"/>
                              <w:rFonts w:hint="eastAsia" w:ascii="宋体" w:hAnsi="宋体"/>
                              <w:spacing w:val="30"/>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2"/>
                      <w:rPr>
                        <w:rStyle w:val="5"/>
                        <w:spacing w:val="30"/>
                        <w:sz w:val="28"/>
                        <w:szCs w:val="28"/>
                      </w:rPr>
                    </w:pPr>
                    <w:r>
                      <w:rPr>
                        <w:rStyle w:val="5"/>
                        <w:rFonts w:hint="eastAsia" w:ascii="宋体" w:hAnsi="宋体"/>
                        <w:spacing w:val="30"/>
                        <w:sz w:val="28"/>
                        <w:szCs w:val="28"/>
                      </w:rPr>
                      <w:t>—</w:t>
                    </w:r>
                    <w:r>
                      <w:rPr>
                        <w:spacing w:val="30"/>
                        <w:sz w:val="28"/>
                        <w:szCs w:val="28"/>
                      </w:rPr>
                      <w:fldChar w:fldCharType="begin"/>
                    </w:r>
                    <w:r>
                      <w:rPr>
                        <w:rStyle w:val="5"/>
                        <w:spacing w:val="30"/>
                        <w:sz w:val="28"/>
                        <w:szCs w:val="28"/>
                      </w:rPr>
                      <w:instrText xml:space="preserve">PAGE  </w:instrText>
                    </w:r>
                    <w:r>
                      <w:rPr>
                        <w:spacing w:val="30"/>
                        <w:sz w:val="28"/>
                        <w:szCs w:val="28"/>
                      </w:rPr>
                      <w:fldChar w:fldCharType="separate"/>
                    </w:r>
                    <w:r>
                      <w:rPr>
                        <w:rStyle w:val="5"/>
                        <w:rFonts w:hint="eastAsia"/>
                        <w:spacing w:val="30"/>
                        <w:sz w:val="28"/>
                        <w:szCs w:val="28"/>
                      </w:rPr>
                      <w:t>９</w:t>
                    </w:r>
                    <w:r>
                      <w:rPr>
                        <w:spacing w:val="30"/>
                        <w:sz w:val="28"/>
                        <w:szCs w:val="28"/>
                      </w:rPr>
                      <w:fldChar w:fldCharType="end"/>
                    </w:r>
                    <w:r>
                      <w:rPr>
                        <w:rStyle w:val="5"/>
                        <w:rFonts w:hint="eastAsia" w:ascii="宋体" w:hAnsi="宋体"/>
                        <w:spacing w:val="30"/>
                        <w:sz w:val="28"/>
                        <w:szCs w:val="28"/>
                      </w:rPr>
                      <w:t>—</w:t>
                    </w:r>
                  </w:p>
                </w:txbxContent>
              </v:textbox>
            </v:shape>
          </w:pict>
        </mc:Fallback>
      </mc:AlternateConten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C28AB"/>
    <w:rsid w:val="22FC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2020-09-25T06:09:00Z</dcterms:created>
  <dc:creator>NTKO</dc:creator>
  <cp:lastModifiedBy>NTKO</cp:lastModifiedBy>
  <dcterms:modified xsi:type="dcterms:W3CDTF">2020-09-25T06:09:49Z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