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七星区</w:t>
      </w:r>
      <w:r>
        <w:rPr>
          <w:rFonts w:hint="eastAsia" w:ascii="方正小标宋_GBK" w:hAnsi="方正小标宋_GBK" w:eastAsia="方正小标宋_GBK" w:cs="方正小标宋_GBK"/>
          <w:snapToGrid w:val="0"/>
          <w:kern w:val="21"/>
          <w:sz w:val="36"/>
          <w:szCs w:val="36"/>
        </w:rPr>
        <w:t>政府办公室</w:t>
      </w:r>
      <w:r>
        <w:rPr>
          <w:rFonts w:hint="eastAsia" w:ascii="方正小标宋_GBK" w:hAnsi="方正小标宋_GBK" w:eastAsia="方正小标宋_GBK" w:cs="方正小标宋_GBK"/>
          <w:snapToGrid w:val="0"/>
          <w:kern w:val="21"/>
          <w:sz w:val="36"/>
          <w:szCs w:val="36"/>
          <w:lang w:eastAsia="zh-CN"/>
        </w:rPr>
        <w:t>（</w:t>
      </w:r>
      <w:r>
        <w:rPr>
          <w:rFonts w:hint="eastAsia" w:ascii="方正小标宋_GBK" w:hAnsi="方正小标宋_GBK" w:eastAsia="方正小标宋_GBK" w:cs="方正小标宋_GBK"/>
          <w:snapToGrid w:val="0"/>
          <w:kern w:val="21"/>
          <w:sz w:val="36"/>
          <w:szCs w:val="36"/>
          <w:lang w:val="en-US" w:eastAsia="zh-CN"/>
        </w:rPr>
        <w:t>含</w:t>
      </w:r>
      <w:r>
        <w:rPr>
          <w:rFonts w:hint="eastAsia" w:ascii="方正小标宋_GBK" w:hAnsi="方正小标宋_GBK" w:eastAsia="方正小标宋_GBK" w:cs="方正小标宋_GBK"/>
          <w:snapToGrid w:val="0"/>
          <w:kern w:val="21"/>
          <w:sz w:val="36"/>
          <w:szCs w:val="36"/>
        </w:rPr>
        <w:t>大数据发展和政务服务领域</w:t>
      </w:r>
      <w:r>
        <w:rPr>
          <w:rFonts w:hint="eastAsia" w:ascii="方正小标宋_GBK" w:hAnsi="方正小标宋_GBK" w:eastAsia="方正小标宋_GBK" w:cs="方正小标宋_GBK"/>
          <w:snapToGrid w:val="0"/>
          <w:kern w:val="21"/>
          <w:sz w:val="36"/>
          <w:szCs w:val="36"/>
          <w:lang w:eastAsia="zh-CN"/>
        </w:rPr>
        <w:t>）</w:t>
      </w:r>
      <w:r>
        <w:rPr>
          <w:rFonts w:hint="eastAsia" w:ascii="方正小标宋_GBK" w:hAnsi="方正小标宋_GBK" w:eastAsia="方正小标宋_GBK" w:cs="方正小标宋_GBK"/>
          <w:snapToGrid w:val="0"/>
          <w:kern w:val="21"/>
          <w:sz w:val="36"/>
          <w:szCs w:val="36"/>
        </w:rPr>
        <w:t>政府信息主动公开事项目录</w:t>
      </w:r>
    </w:p>
    <w:p>
      <w:pPr>
        <w:adjustRightInd w:val="0"/>
        <w:snapToGrid w:val="0"/>
        <w:spacing w:line="200" w:lineRule="exact"/>
        <w:jc w:val="left"/>
        <w:rPr>
          <w:rFonts w:hint="eastAsia" w:ascii="方正小标宋_GBK" w:hAnsi="方正小标宋_GBK" w:eastAsia="方正小标宋_GBK" w:cs="方正小标宋_GBK"/>
          <w:snapToGrid w:val="0"/>
          <w:kern w:val="21"/>
          <w:sz w:val="28"/>
          <w:szCs w:val="28"/>
        </w:rPr>
      </w:pPr>
    </w:p>
    <w:tbl>
      <w:tblPr>
        <w:tblStyle w:val="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383"/>
        <w:gridCol w:w="1813"/>
        <w:gridCol w:w="969"/>
        <w:gridCol w:w="1916"/>
        <w:gridCol w:w="1205"/>
        <w:gridCol w:w="3020"/>
        <w:gridCol w:w="1424"/>
        <w:gridCol w:w="955"/>
        <w:gridCol w:w="1076"/>
        <w:gridCol w:w="151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84"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序号</w:t>
            </w:r>
          </w:p>
        </w:tc>
        <w:tc>
          <w:tcPr>
            <w:tcW w:w="1814"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事项名称</w:t>
            </w:r>
          </w:p>
        </w:tc>
        <w:tc>
          <w:tcPr>
            <w:tcW w:w="969"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所属类型</w:t>
            </w:r>
          </w:p>
        </w:tc>
        <w:tc>
          <w:tcPr>
            <w:tcW w:w="1916"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公开内容</w:t>
            </w:r>
          </w:p>
        </w:tc>
        <w:tc>
          <w:tcPr>
            <w:tcW w:w="120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公开主体</w:t>
            </w:r>
          </w:p>
        </w:tc>
        <w:tc>
          <w:tcPr>
            <w:tcW w:w="3021"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公开依据</w:t>
            </w:r>
          </w:p>
        </w:tc>
        <w:tc>
          <w:tcPr>
            <w:tcW w:w="1424"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公开时限</w:t>
            </w:r>
          </w:p>
        </w:tc>
        <w:tc>
          <w:tcPr>
            <w:tcW w:w="95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公开期限</w:t>
            </w:r>
          </w:p>
        </w:tc>
        <w:tc>
          <w:tcPr>
            <w:tcW w:w="1076"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公开渠道</w:t>
            </w:r>
          </w:p>
        </w:tc>
        <w:tc>
          <w:tcPr>
            <w:tcW w:w="1513"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未依法公开</w:t>
            </w:r>
          </w:p>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承担责任单位</w:t>
            </w:r>
          </w:p>
        </w:tc>
        <w:tc>
          <w:tcPr>
            <w:tcW w:w="1183"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kern w:val="21"/>
                <w:sz w:val="20"/>
                <w:szCs w:val="20"/>
              </w:rPr>
            </w:pPr>
            <w:r>
              <w:rPr>
                <w:rFonts w:hint="eastAsia" w:ascii="方正黑体_GBK" w:hAnsi="方正黑体_GBK" w:eastAsia="方正黑体_GBK" w:cs="方正黑体_GBK"/>
                <w:snapToGrid w:val="0"/>
                <w:kern w:val="2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规范性文件</w:t>
            </w:r>
          </w:p>
        </w:tc>
        <w:tc>
          <w:tcPr>
            <w:tcW w:w="969" w:type="dxa"/>
            <w:noWrap w:val="0"/>
            <w:vAlign w:val="center"/>
          </w:tcPr>
          <w:p>
            <w:pPr>
              <w:adjustRightInd w:val="0"/>
              <w:snapToGrid w:val="0"/>
              <w:spacing w:line="240" w:lineRule="exact"/>
              <w:jc w:val="center"/>
              <w:rPr>
                <w:rFonts w:eastAsia="方正仿宋_GBK"/>
                <w:snapToGrid w:val="0"/>
                <w:kern w:val="21"/>
                <w:sz w:val="20"/>
                <w:szCs w:val="20"/>
              </w:rPr>
            </w:pPr>
            <w:r>
              <w:rPr>
                <w:rFonts w:eastAsia="方正仿宋_GBK"/>
                <w:snapToGrid w:val="0"/>
                <w:kern w:val="21"/>
                <w:sz w:val="20"/>
                <w:szCs w:val="20"/>
              </w:rPr>
              <w:t>行政规范性文件</w:t>
            </w:r>
          </w:p>
        </w:tc>
        <w:tc>
          <w:tcPr>
            <w:tcW w:w="1916"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规范性文件及相关配套文件</w:t>
            </w:r>
          </w:p>
        </w:tc>
        <w:tc>
          <w:tcPr>
            <w:tcW w:w="1205" w:type="dxa"/>
            <w:noWrap w:val="0"/>
            <w:vAlign w:val="center"/>
          </w:tcPr>
          <w:p>
            <w:pPr>
              <w:adjustRightInd w:val="0"/>
              <w:snapToGrid w:val="0"/>
              <w:spacing w:line="240" w:lineRule="exact"/>
              <w:rPr>
                <w:rFonts w:hint="default" w:eastAsia="方正仿宋_GBK"/>
                <w:snapToGrid w:val="0"/>
                <w:kern w:val="21"/>
                <w:sz w:val="20"/>
                <w:szCs w:val="20"/>
                <w:lang w:val="en-US" w:eastAsia="zh-CN"/>
              </w:rPr>
            </w:pPr>
            <w:r>
              <w:rPr>
                <w:rFonts w:hint="eastAsia" w:eastAsia="方正仿宋_GBK"/>
                <w:snapToGrid w:val="0"/>
                <w:kern w:val="21"/>
                <w:sz w:val="20"/>
                <w:szCs w:val="20"/>
                <w:lang w:val="en-US" w:eastAsia="zh-CN"/>
              </w:rPr>
              <w:t>七星区人民政府办公室</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《中华人民共和国政府信息公开条例》</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信息形成或变更之日起20个工作日内</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机关职能、机构设置、办公地址、办公时间、联系方式、负责人姓名</w:t>
            </w:r>
          </w:p>
        </w:tc>
        <w:tc>
          <w:tcPr>
            <w:tcW w:w="969" w:type="dxa"/>
            <w:noWrap w:val="0"/>
            <w:vAlign w:val="center"/>
          </w:tcPr>
          <w:p>
            <w:pPr>
              <w:adjustRightInd w:val="0"/>
              <w:snapToGrid w:val="0"/>
              <w:spacing w:line="240" w:lineRule="exact"/>
              <w:jc w:val="center"/>
              <w:rPr>
                <w:rFonts w:eastAsia="方正仿宋_GBK"/>
                <w:snapToGrid w:val="0"/>
                <w:kern w:val="21"/>
                <w:sz w:val="20"/>
                <w:szCs w:val="20"/>
              </w:rPr>
            </w:pPr>
            <w:r>
              <w:rPr>
                <w:rFonts w:eastAsia="方正仿宋_GBK"/>
                <w:snapToGrid w:val="0"/>
                <w:kern w:val="21"/>
                <w:sz w:val="20"/>
                <w:szCs w:val="20"/>
              </w:rPr>
              <w:t>机构概况</w:t>
            </w: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机构职能、机构设置、办公地址、办公时间、联系方式、负责人姓名</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《中华人民共和国政府信息公开条例》</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信息形成或变更之日起20个工作日内</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部门预算、决算</w:t>
            </w:r>
          </w:p>
        </w:tc>
        <w:tc>
          <w:tcPr>
            <w:tcW w:w="969" w:type="dxa"/>
            <w:vMerge w:val="restart"/>
            <w:noWrap w:val="0"/>
            <w:vAlign w:val="center"/>
          </w:tcPr>
          <w:p>
            <w:pPr>
              <w:adjustRightInd w:val="0"/>
              <w:snapToGrid w:val="0"/>
              <w:spacing w:line="240" w:lineRule="exact"/>
              <w:jc w:val="center"/>
              <w:rPr>
                <w:rFonts w:eastAsia="方正仿宋_GBK"/>
                <w:snapToGrid w:val="0"/>
                <w:kern w:val="21"/>
                <w:sz w:val="20"/>
                <w:szCs w:val="20"/>
              </w:rPr>
            </w:pPr>
            <w:r>
              <w:rPr>
                <w:rFonts w:eastAsia="方正仿宋_GBK"/>
                <w:snapToGrid w:val="0"/>
                <w:kern w:val="21"/>
                <w:sz w:val="20"/>
                <w:szCs w:val="20"/>
              </w:rPr>
              <w:t>财政预算、决算信息</w:t>
            </w: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部门</w:t>
            </w:r>
            <w:r>
              <w:rPr>
                <w:rFonts w:eastAsia="方正仿宋_GBK"/>
                <w:snapToGrid w:val="0"/>
                <w:kern w:val="21"/>
                <w:sz w:val="20"/>
                <w:szCs w:val="20"/>
              </w:rPr>
              <w:t>预算、决算及执行情况</w:t>
            </w:r>
          </w:p>
        </w:tc>
        <w:tc>
          <w:tcPr>
            <w:tcW w:w="1205"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2.《中华人民共和国预算法》</w:t>
            </w:r>
          </w:p>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3.《中华人民共和国预算法实施条例》</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经本级政府财政部门批复的部门预算及报表，应当在批复后二十日内向社会公开</w:t>
            </w:r>
          </w:p>
        </w:tc>
        <w:tc>
          <w:tcPr>
            <w:tcW w:w="95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1183" w:type="dxa"/>
            <w:noWrap w:val="0"/>
            <w:vAlign w:val="center"/>
          </w:tcPr>
          <w:p>
            <w:pPr>
              <w:adjustRightInd w:val="0"/>
              <w:snapToGrid w:val="0"/>
              <w:spacing w:line="240" w:lineRule="exact"/>
              <w:rPr>
                <w:rFonts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w:t>
            </w:r>
            <w:r>
              <w:rPr>
                <w:rFonts w:eastAsia="方正仿宋_GBK"/>
                <w:snapToGrid w:val="0"/>
                <w:kern w:val="21"/>
                <w:sz w:val="20"/>
                <w:szCs w:val="20"/>
              </w:rPr>
              <w:t>三公</w:t>
            </w:r>
            <w:r>
              <w:rPr>
                <w:rFonts w:hint="eastAsia" w:eastAsia="方正仿宋_GBK"/>
                <w:snapToGrid w:val="0"/>
                <w:kern w:val="21"/>
                <w:sz w:val="20"/>
                <w:szCs w:val="20"/>
              </w:rPr>
              <w:t>”</w:t>
            </w:r>
            <w:r>
              <w:rPr>
                <w:rFonts w:eastAsia="方正仿宋_GBK"/>
                <w:snapToGrid w:val="0"/>
                <w:kern w:val="21"/>
                <w:sz w:val="20"/>
                <w:szCs w:val="20"/>
              </w:rPr>
              <w:t>经费</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w:t>
            </w:r>
            <w:r>
              <w:rPr>
                <w:rFonts w:eastAsia="方正仿宋_GBK"/>
                <w:snapToGrid w:val="0"/>
                <w:kern w:val="21"/>
                <w:sz w:val="20"/>
                <w:szCs w:val="20"/>
              </w:rPr>
              <w:t>三公</w:t>
            </w:r>
            <w:r>
              <w:rPr>
                <w:rFonts w:hint="eastAsia" w:eastAsia="方正仿宋_GBK"/>
                <w:snapToGrid w:val="0"/>
                <w:kern w:val="21"/>
                <w:sz w:val="20"/>
                <w:szCs w:val="20"/>
              </w:rPr>
              <w:t>”</w:t>
            </w:r>
            <w:r>
              <w:rPr>
                <w:rFonts w:eastAsia="方正仿宋_GBK"/>
                <w:snapToGrid w:val="0"/>
                <w:kern w:val="21"/>
                <w:sz w:val="20"/>
                <w:szCs w:val="20"/>
              </w:rPr>
              <w:t>经费的开支情况</w:t>
            </w:r>
          </w:p>
        </w:tc>
        <w:tc>
          <w:tcPr>
            <w:tcW w:w="1205"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2.</w:t>
            </w:r>
            <w:r>
              <w:rPr>
                <w:rFonts w:eastAsia="方正仿宋_GBK"/>
                <w:snapToGrid w:val="0"/>
                <w:kern w:val="21"/>
                <w:sz w:val="20"/>
                <w:szCs w:val="20"/>
              </w:rPr>
              <w:t>《中华人民共和国预算法实施条例》</w:t>
            </w:r>
          </w:p>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3.</w:t>
            </w:r>
            <w:r>
              <w:rPr>
                <w:rFonts w:eastAsia="方正仿宋_GBK"/>
                <w:snapToGrid w:val="0"/>
                <w:kern w:val="21"/>
                <w:sz w:val="20"/>
                <w:szCs w:val="20"/>
              </w:rPr>
              <w:t>《财政部关于推进部门所属单位预算公开工作的指导意见》（财预〔2021〕29号）</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经本级政府财政部门批复的部门预算及报表，应当在批复后二十日内向社会公开</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1183" w:type="dxa"/>
            <w:noWrap w:val="0"/>
            <w:vAlign w:val="center"/>
          </w:tcPr>
          <w:p>
            <w:pPr>
              <w:adjustRightInd w:val="0"/>
              <w:snapToGrid w:val="0"/>
              <w:spacing w:line="240" w:lineRule="exact"/>
              <w:rPr>
                <w:rFonts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25"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单位政府采购意向</w:t>
            </w:r>
          </w:p>
        </w:tc>
        <w:tc>
          <w:tcPr>
            <w:tcW w:w="969" w:type="dxa"/>
            <w:vMerge w:val="restart"/>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政府采购</w:t>
            </w:r>
          </w:p>
        </w:tc>
        <w:tc>
          <w:tcPr>
            <w:tcW w:w="1916"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政府采购项目名称、采购需求概况、预算金额、计划实施采购时间、落实政府采购政策功能情况等</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3021"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1.</w:t>
            </w:r>
            <w:r>
              <w:rPr>
                <w:rFonts w:hint="eastAsia" w:eastAsia="方正仿宋_GBK"/>
                <w:snapToGrid w:val="0"/>
                <w:kern w:val="21"/>
                <w:sz w:val="20"/>
                <w:szCs w:val="20"/>
              </w:rPr>
              <w:t>《中华人民共和国政府信息公开条例》</w:t>
            </w:r>
            <w:r>
              <w:rPr>
                <w:rFonts w:eastAsia="方正仿宋_GBK"/>
                <w:snapToGrid w:val="0"/>
                <w:kern w:val="21"/>
                <w:sz w:val="20"/>
                <w:szCs w:val="20"/>
              </w:rPr>
              <w:br w:type="textWrapping"/>
            </w:r>
            <w:r>
              <w:rPr>
                <w:rFonts w:hint="eastAsia" w:eastAsia="方正仿宋_GBK"/>
                <w:snapToGrid w:val="0"/>
                <w:kern w:val="21"/>
                <w:sz w:val="20"/>
                <w:szCs w:val="20"/>
              </w:rPr>
              <w:t>2.</w:t>
            </w:r>
            <w:r>
              <w:rPr>
                <w:rFonts w:eastAsia="方正仿宋_GBK"/>
                <w:snapToGrid w:val="0"/>
                <w:kern w:val="21"/>
                <w:sz w:val="20"/>
                <w:szCs w:val="20"/>
              </w:rPr>
              <w:t>《</w:t>
            </w:r>
            <w:r>
              <w:rPr>
                <w:rFonts w:hint="eastAsia" w:eastAsia="方正仿宋_GBK"/>
                <w:snapToGrid w:val="0"/>
                <w:kern w:val="21"/>
                <w:sz w:val="20"/>
                <w:szCs w:val="20"/>
              </w:rPr>
              <w:t>广西壮族</w:t>
            </w:r>
            <w:r>
              <w:rPr>
                <w:rFonts w:eastAsia="方正仿宋_GBK"/>
                <w:snapToGrid w:val="0"/>
                <w:kern w:val="21"/>
                <w:sz w:val="20"/>
                <w:szCs w:val="20"/>
              </w:rPr>
              <w:t>自治区财政厅关于进一步规范政府采购意向公开工作的通知》（桂财采〔2022〕84号）</w:t>
            </w:r>
          </w:p>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3.《广西壮族自治区财政厅关于进一步做好政府采购信息发布工作的通知》（桂财采</w:t>
            </w:r>
            <w:r>
              <w:rPr>
                <w:rFonts w:eastAsia="方正仿宋_GBK"/>
                <w:snapToGrid w:val="0"/>
                <w:kern w:val="21"/>
                <w:sz w:val="20"/>
                <w:szCs w:val="20"/>
              </w:rPr>
              <w:t>〔202</w:t>
            </w:r>
            <w:r>
              <w:rPr>
                <w:rFonts w:hint="eastAsia" w:eastAsia="方正仿宋_GBK"/>
                <w:snapToGrid w:val="0"/>
                <w:kern w:val="21"/>
                <w:sz w:val="20"/>
                <w:szCs w:val="20"/>
              </w:rPr>
              <w:t>4</w:t>
            </w:r>
            <w:r>
              <w:rPr>
                <w:rFonts w:eastAsia="方正仿宋_GBK"/>
                <w:snapToGrid w:val="0"/>
                <w:kern w:val="21"/>
                <w:sz w:val="20"/>
                <w:szCs w:val="20"/>
              </w:rPr>
              <w:t>〕</w:t>
            </w:r>
            <w:r>
              <w:rPr>
                <w:rFonts w:hint="eastAsia" w:eastAsia="方正仿宋_GBK"/>
                <w:snapToGrid w:val="0"/>
                <w:kern w:val="21"/>
                <w:sz w:val="20"/>
                <w:szCs w:val="20"/>
              </w:rPr>
              <w:t>49</w:t>
            </w:r>
            <w:r>
              <w:rPr>
                <w:rFonts w:eastAsia="方正仿宋_GBK"/>
                <w:snapToGrid w:val="0"/>
                <w:kern w:val="21"/>
                <w:sz w:val="20"/>
                <w:szCs w:val="20"/>
              </w:rPr>
              <w:t>号</w:t>
            </w:r>
            <w:r>
              <w:rPr>
                <w:rFonts w:hint="eastAsia" w:eastAsia="方正仿宋_GBK"/>
                <w:snapToGrid w:val="0"/>
                <w:kern w:val="21"/>
                <w:sz w:val="20"/>
                <w:szCs w:val="20"/>
              </w:rPr>
              <w:t>）</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政府采购意向公开时间应当尽量提前，原则上不得晚于采购公告发布前30日</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hint="default" w:eastAsia="方正仿宋_GBK"/>
                <w:snapToGrid w:val="0"/>
                <w:kern w:val="21"/>
                <w:sz w:val="20"/>
                <w:szCs w:val="20"/>
                <w:lang w:val="en-US" w:eastAsia="zh-CN"/>
              </w:rPr>
            </w:pPr>
            <w:r>
              <w:rPr>
                <w:rFonts w:hint="eastAsia" w:eastAsia="方正仿宋_GBK"/>
                <w:snapToGrid w:val="0"/>
                <w:kern w:val="21"/>
                <w:sz w:val="20"/>
                <w:szCs w:val="20"/>
                <w:lang w:val="en-US" w:eastAsia="zh-CN"/>
              </w:rPr>
              <w:t>中国政府采购网、</w:t>
            </w:r>
            <w:r>
              <w:rPr>
                <w:rFonts w:eastAsia="方正仿宋_GBK"/>
                <w:snapToGrid w:val="0"/>
                <w:kern w:val="21"/>
                <w:sz w:val="20"/>
                <w:szCs w:val="20"/>
              </w:rPr>
              <w:t>广西政府采购网</w:t>
            </w:r>
            <w:r>
              <w:rPr>
                <w:rFonts w:hint="eastAsia" w:eastAsia="方正仿宋_GBK"/>
                <w:snapToGrid w:val="0"/>
                <w:kern w:val="21"/>
                <w:sz w:val="20"/>
                <w:szCs w:val="20"/>
                <w:lang w:eastAsia="zh-CN"/>
              </w:rPr>
              <w:t>、</w:t>
            </w:r>
            <w:r>
              <w:rPr>
                <w:rFonts w:hint="eastAsia" w:eastAsia="方正仿宋_GBK"/>
                <w:snapToGrid w:val="0"/>
                <w:kern w:val="21"/>
                <w:sz w:val="20"/>
                <w:szCs w:val="20"/>
                <w:lang w:val="en-US" w:eastAsia="zh-CN"/>
              </w:rPr>
              <w:t>桂林市政府采购网</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583"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单位政府采购信息发布</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资格预审公告、采购公告、单一来源公示、框架协议公告、更正公告、中标（成交）结果公告、废标（中止）公告、合同公告、履约验收公告</w:t>
            </w:r>
          </w:p>
        </w:tc>
        <w:tc>
          <w:tcPr>
            <w:tcW w:w="1205" w:type="dxa"/>
            <w:noWrap w:val="0"/>
            <w:vAlign w:val="center"/>
          </w:tcPr>
          <w:p>
            <w:pPr>
              <w:adjustRightInd w:val="0"/>
              <w:snapToGrid w:val="0"/>
              <w:spacing w:line="240" w:lineRule="exact"/>
              <w:rPr>
                <w:rFonts w:hint="eastAsia" w:eastAsia="方正仿宋_GBK"/>
                <w:b/>
                <w:bCs/>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r>
              <w:rPr>
                <w:rFonts w:hint="eastAsia" w:eastAsia="方正仿宋_GBK"/>
                <w:snapToGrid w:val="0"/>
                <w:kern w:val="21"/>
                <w:sz w:val="20"/>
                <w:szCs w:val="20"/>
              </w:rPr>
              <w:t>、代理机构</w:t>
            </w:r>
          </w:p>
        </w:tc>
        <w:tc>
          <w:tcPr>
            <w:tcW w:w="3021" w:type="dxa"/>
            <w:noWrap w:val="0"/>
            <w:vAlign w:val="center"/>
          </w:tcPr>
          <w:p>
            <w:pPr>
              <w:widowControl/>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widowControl/>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2.《政府采购信息发布管理办法》</w:t>
            </w:r>
          </w:p>
          <w:p>
            <w:pPr>
              <w:widowControl/>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3.《财政部关于做好政府采购信息公开工作的通知》（财库〔2015〕135号）</w:t>
            </w:r>
          </w:p>
          <w:p>
            <w:pPr>
              <w:widowControl/>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4.《广西壮族自治区财政厅关于进一步做好政府采购信息发布工作的通知》（桂财采〔2024〕49号）</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55" w:type="dxa"/>
            <w:noWrap w:val="0"/>
            <w:vAlign w:val="center"/>
          </w:tcPr>
          <w:p>
            <w:pPr>
              <w:widowControl/>
              <w:spacing w:line="240" w:lineRule="exact"/>
              <w:rPr>
                <w:rFonts w:eastAsia="方正仿宋_GBK"/>
                <w:snapToGrid w:val="0"/>
                <w:kern w:val="21"/>
                <w:sz w:val="20"/>
                <w:szCs w:val="20"/>
              </w:rPr>
            </w:pPr>
            <w:r>
              <w:rPr>
                <w:rFonts w:eastAsia="方正仿宋_GBK"/>
                <w:snapToGrid w:val="0"/>
                <w:kern w:val="21"/>
                <w:sz w:val="20"/>
                <w:szCs w:val="20"/>
              </w:rPr>
              <w:t>招标公告、资格预审公告的公告期限为5个工作日；</w:t>
            </w:r>
          </w:p>
          <w:p>
            <w:pPr>
              <w:widowControl/>
              <w:spacing w:line="240" w:lineRule="exact"/>
              <w:rPr>
                <w:rFonts w:eastAsia="方正仿宋_GBK"/>
                <w:snapToGrid w:val="0"/>
                <w:kern w:val="21"/>
                <w:sz w:val="20"/>
                <w:szCs w:val="20"/>
              </w:rPr>
            </w:pPr>
            <w:r>
              <w:rPr>
                <w:rFonts w:eastAsia="方正仿宋_GBK"/>
                <w:snapToGrid w:val="0"/>
                <w:kern w:val="21"/>
                <w:sz w:val="20"/>
                <w:szCs w:val="20"/>
              </w:rPr>
              <w:t>竞争性谈判公告、竞争性磋商公告和询价公告的公告期限为3个工作日；中标、成交结果的公告期限为1个工作日；单一来源公示期限不得少于5个工作日</w:t>
            </w:r>
          </w:p>
        </w:tc>
        <w:tc>
          <w:tcPr>
            <w:tcW w:w="1076"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中国政府采购网、</w:t>
            </w:r>
            <w:r>
              <w:rPr>
                <w:rFonts w:eastAsia="方正仿宋_GBK"/>
                <w:snapToGrid w:val="0"/>
                <w:kern w:val="21"/>
                <w:sz w:val="20"/>
                <w:szCs w:val="20"/>
              </w:rPr>
              <w:t>广西政府采购网</w:t>
            </w:r>
            <w:r>
              <w:rPr>
                <w:rFonts w:hint="eastAsia" w:eastAsia="方正仿宋_GBK"/>
                <w:snapToGrid w:val="0"/>
                <w:kern w:val="21"/>
                <w:sz w:val="20"/>
                <w:szCs w:val="20"/>
                <w:lang w:eastAsia="zh-CN"/>
              </w:rPr>
              <w:t>、</w:t>
            </w:r>
            <w:r>
              <w:rPr>
                <w:rFonts w:hint="eastAsia" w:eastAsia="方正仿宋_GBK"/>
                <w:snapToGrid w:val="0"/>
                <w:kern w:val="21"/>
                <w:sz w:val="20"/>
                <w:szCs w:val="20"/>
                <w:lang w:val="en-US" w:eastAsia="zh-CN"/>
              </w:rPr>
              <w:t>桂林市政府采购网</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r>
              <w:rPr>
                <w:rFonts w:hint="eastAsia" w:eastAsia="方正仿宋_GBK"/>
                <w:snapToGrid w:val="0"/>
                <w:kern w:val="21"/>
                <w:sz w:val="20"/>
                <w:szCs w:val="20"/>
              </w:rPr>
              <w:t>、代理机构</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36"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单位面向中小企业预留项目执行情况</w:t>
            </w:r>
          </w:p>
        </w:tc>
        <w:tc>
          <w:tcPr>
            <w:tcW w:w="969"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政府采购</w:t>
            </w:r>
          </w:p>
        </w:tc>
        <w:tc>
          <w:tcPr>
            <w:tcW w:w="1916"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项目名称、面向中小企业采购金额等</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3021" w:type="dxa"/>
            <w:noWrap w:val="0"/>
            <w:vAlign w:val="center"/>
          </w:tcPr>
          <w:p>
            <w:pPr>
              <w:widowControl/>
              <w:spacing w:line="240" w:lineRule="exact"/>
              <w:jc w:val="left"/>
              <w:rPr>
                <w:rFonts w:eastAsia="方正仿宋_GBK"/>
                <w:snapToGrid w:val="0"/>
                <w:kern w:val="21"/>
                <w:sz w:val="20"/>
                <w:szCs w:val="20"/>
              </w:rPr>
            </w:pPr>
            <w:r>
              <w:rPr>
                <w:rFonts w:hint="eastAsia" w:eastAsia="方正仿宋_GBK"/>
                <w:snapToGrid w:val="0"/>
                <w:kern w:val="21"/>
                <w:sz w:val="20"/>
                <w:szCs w:val="20"/>
              </w:rPr>
              <w:t>1.</w:t>
            </w:r>
            <w:r>
              <w:rPr>
                <w:rFonts w:eastAsia="方正仿宋_GBK"/>
                <w:snapToGrid w:val="0"/>
                <w:kern w:val="21"/>
                <w:sz w:val="20"/>
                <w:szCs w:val="20"/>
              </w:rPr>
              <w:t>《政府采购促进中小企业发展管理办法》（财库〔2020〕46号）</w:t>
            </w:r>
            <w:r>
              <w:rPr>
                <w:rFonts w:hint="eastAsia" w:eastAsia="方正仿宋_GBK"/>
                <w:snapToGrid w:val="0"/>
                <w:kern w:val="21"/>
                <w:sz w:val="20"/>
                <w:szCs w:val="20"/>
              </w:rPr>
              <w:t>2.</w:t>
            </w:r>
            <w:r>
              <w:rPr>
                <w:rFonts w:eastAsia="方正仿宋_GBK"/>
                <w:snapToGrid w:val="0"/>
                <w:kern w:val="21"/>
                <w:sz w:val="20"/>
                <w:szCs w:val="20"/>
              </w:rPr>
              <w:t>《广西壮族自治区财政厅关于贯彻落实政府采购支持中小企业发展政策的通知》（桂财采〔</w:t>
            </w:r>
            <w:r>
              <w:rPr>
                <w:rFonts w:hint="eastAsia" w:eastAsia="方正仿宋_GBK"/>
                <w:snapToGrid w:val="0"/>
                <w:kern w:val="21"/>
                <w:sz w:val="20"/>
                <w:szCs w:val="20"/>
              </w:rPr>
              <w:t>2022</w:t>
            </w:r>
            <w:r>
              <w:rPr>
                <w:rFonts w:eastAsia="方正仿宋_GBK"/>
                <w:snapToGrid w:val="0"/>
                <w:kern w:val="21"/>
                <w:sz w:val="20"/>
                <w:szCs w:val="20"/>
              </w:rPr>
              <w:t>〕31号）</w:t>
            </w:r>
          </w:p>
          <w:p>
            <w:pPr>
              <w:widowControl/>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3.《广西壮族自治区财政厅广西壮族自治区工业和信息化厅关于贯彻落实政府采购促进中小企业发展管理办法的通知》</w:t>
            </w:r>
            <w:r>
              <w:rPr>
                <w:rFonts w:eastAsia="方正仿宋_GBK"/>
                <w:snapToGrid w:val="0"/>
                <w:kern w:val="21"/>
                <w:sz w:val="20"/>
                <w:szCs w:val="20"/>
              </w:rPr>
              <w:t>（</w:t>
            </w:r>
            <w:r>
              <w:rPr>
                <w:rFonts w:hint="eastAsia" w:eastAsia="方正仿宋_GBK"/>
                <w:snapToGrid w:val="0"/>
                <w:kern w:val="21"/>
                <w:sz w:val="20"/>
                <w:szCs w:val="20"/>
              </w:rPr>
              <w:t>桂财采</w:t>
            </w:r>
            <w:r>
              <w:rPr>
                <w:rFonts w:eastAsia="方正仿宋_GBK"/>
                <w:snapToGrid w:val="0"/>
                <w:kern w:val="21"/>
                <w:sz w:val="20"/>
                <w:szCs w:val="20"/>
              </w:rPr>
              <w:t>〔202</w:t>
            </w:r>
            <w:r>
              <w:rPr>
                <w:rFonts w:hint="eastAsia" w:eastAsia="方正仿宋_GBK"/>
                <w:snapToGrid w:val="0"/>
                <w:kern w:val="21"/>
                <w:sz w:val="20"/>
                <w:szCs w:val="20"/>
              </w:rPr>
              <w:t>1</w:t>
            </w:r>
            <w:r>
              <w:rPr>
                <w:rFonts w:eastAsia="方正仿宋_GBK"/>
                <w:snapToGrid w:val="0"/>
                <w:kern w:val="21"/>
                <w:sz w:val="20"/>
                <w:szCs w:val="20"/>
              </w:rPr>
              <w:t>〕</w:t>
            </w:r>
            <w:r>
              <w:rPr>
                <w:rFonts w:hint="eastAsia" w:eastAsia="方正仿宋_GBK"/>
                <w:snapToGrid w:val="0"/>
                <w:kern w:val="21"/>
                <w:sz w:val="20"/>
                <w:szCs w:val="20"/>
              </w:rPr>
              <w:t>70</w:t>
            </w:r>
            <w:r>
              <w:rPr>
                <w:rFonts w:eastAsia="方正仿宋_GBK"/>
                <w:snapToGrid w:val="0"/>
                <w:kern w:val="21"/>
                <w:sz w:val="20"/>
                <w:szCs w:val="20"/>
              </w:rPr>
              <w:t>号）</w:t>
            </w:r>
          </w:p>
        </w:tc>
        <w:tc>
          <w:tcPr>
            <w:tcW w:w="1424" w:type="dxa"/>
            <w:noWrap w:val="0"/>
            <w:vAlign w:val="center"/>
          </w:tcPr>
          <w:p>
            <w:pPr>
              <w:adjustRightInd w:val="0"/>
              <w:snapToGrid w:val="0"/>
              <w:spacing w:line="220" w:lineRule="exact"/>
              <w:rPr>
                <w:rFonts w:eastAsia="方正仿宋_GBK"/>
                <w:snapToGrid w:val="0"/>
                <w:spacing w:val="-6"/>
                <w:kern w:val="21"/>
                <w:sz w:val="20"/>
                <w:szCs w:val="20"/>
              </w:rPr>
            </w:pPr>
            <w:r>
              <w:rPr>
                <w:rFonts w:hint="eastAsia" w:eastAsia="方正仿宋_GBK"/>
                <w:snapToGrid w:val="0"/>
                <w:spacing w:val="-6"/>
                <w:kern w:val="21"/>
                <w:sz w:val="20"/>
                <w:szCs w:val="20"/>
              </w:rPr>
              <w:t>主管预算单位应于每年的1月31日前向同级财政部门报送本部门上一年度面向中小企业预留份额和采购的具体情况，并在中国政府采购网广西分网公开预算项目执行情况</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中国政府采购网、</w:t>
            </w:r>
            <w:r>
              <w:rPr>
                <w:rFonts w:eastAsia="方正仿宋_GBK"/>
                <w:snapToGrid w:val="0"/>
                <w:kern w:val="21"/>
                <w:sz w:val="20"/>
                <w:szCs w:val="20"/>
              </w:rPr>
              <w:t>广西政府采购网</w:t>
            </w:r>
            <w:r>
              <w:rPr>
                <w:rFonts w:hint="eastAsia" w:eastAsia="方正仿宋_GBK"/>
                <w:snapToGrid w:val="0"/>
                <w:kern w:val="21"/>
                <w:sz w:val="20"/>
                <w:szCs w:val="20"/>
                <w:lang w:eastAsia="zh-CN"/>
              </w:rPr>
              <w:t>、</w:t>
            </w:r>
            <w:r>
              <w:rPr>
                <w:rFonts w:hint="eastAsia" w:eastAsia="方正仿宋_GBK"/>
                <w:snapToGrid w:val="0"/>
                <w:kern w:val="21"/>
                <w:sz w:val="20"/>
                <w:szCs w:val="20"/>
                <w:lang w:val="en-US" w:eastAsia="zh-CN"/>
              </w:rPr>
              <w:t>桂林市政府采购网</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r>
              <w:rPr>
                <w:rFonts w:eastAsia="方正仿宋_GBK"/>
                <w:snapToGrid w:val="0"/>
                <w:kern w:val="21"/>
                <w:sz w:val="20"/>
                <w:szCs w:val="20"/>
              </w:rPr>
              <w:t>及其二级预算单位</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公务员招录</w:t>
            </w:r>
          </w:p>
        </w:tc>
        <w:tc>
          <w:tcPr>
            <w:tcW w:w="969" w:type="dxa"/>
            <w:vMerge w:val="restart"/>
            <w:noWrap w:val="0"/>
            <w:vAlign w:val="center"/>
          </w:tcPr>
          <w:p>
            <w:pPr>
              <w:adjustRightInd w:val="0"/>
              <w:snapToGrid w:val="0"/>
              <w:spacing w:line="240" w:lineRule="exact"/>
              <w:jc w:val="center"/>
              <w:rPr>
                <w:rFonts w:eastAsia="方正仿宋_GBK"/>
                <w:snapToGrid w:val="0"/>
                <w:kern w:val="21"/>
                <w:sz w:val="20"/>
                <w:szCs w:val="20"/>
              </w:rPr>
            </w:pPr>
            <w:r>
              <w:rPr>
                <w:rFonts w:eastAsia="方正仿宋_GBK"/>
                <w:snapToGrid w:val="0"/>
                <w:kern w:val="21"/>
                <w:sz w:val="20"/>
                <w:szCs w:val="20"/>
              </w:rPr>
              <w:t>人事信息</w:t>
            </w: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公务员招考录用相关信息</w:t>
            </w:r>
          </w:p>
        </w:tc>
        <w:tc>
          <w:tcPr>
            <w:tcW w:w="1205" w:type="dxa"/>
            <w:vMerge w:val="restart"/>
            <w:noWrap w:val="0"/>
            <w:vAlign w:val="center"/>
          </w:tcPr>
          <w:p>
            <w:pPr>
              <w:spacing w:line="240" w:lineRule="exact"/>
              <w:jc w:val="lef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noWrap w:val="0"/>
            <w:vAlign w:val="center"/>
          </w:tcPr>
          <w:p>
            <w:pPr>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2.《公务员录用规定》</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按自治区公务员考试统一规定时间</w:t>
            </w:r>
            <w:r>
              <w:rPr>
                <w:rFonts w:hint="eastAsia" w:eastAsia="方正仿宋_GBK"/>
                <w:snapToGrid w:val="0"/>
                <w:kern w:val="21"/>
                <w:sz w:val="20"/>
                <w:szCs w:val="20"/>
              </w:rPr>
              <w:t>公开</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按照规定期限公开</w:t>
            </w:r>
          </w:p>
        </w:tc>
        <w:tc>
          <w:tcPr>
            <w:tcW w:w="1076" w:type="dxa"/>
            <w:vMerge w:val="restart"/>
            <w:noWrap w:val="0"/>
            <w:vAlign w:val="center"/>
          </w:tcPr>
          <w:p>
            <w:pPr>
              <w:spacing w:line="240" w:lineRule="exact"/>
              <w:jc w:val="left"/>
              <w:rPr>
                <w:rFonts w:hint="eastAsia" w:eastAsia="方正仿宋_GBK"/>
                <w:snapToGrid w:val="0"/>
                <w:kern w:val="21"/>
                <w:sz w:val="20"/>
                <w:szCs w:val="20"/>
                <w:lang w:eastAsia="zh-CN"/>
              </w:rPr>
            </w:pPr>
            <w:r>
              <w:rPr>
                <w:rFonts w:eastAsia="方正仿宋_GBK"/>
                <w:snapToGrid w:val="0"/>
                <w:kern w:val="21"/>
                <w:sz w:val="20"/>
                <w:szCs w:val="20"/>
              </w:rPr>
              <w:t>广西人事考试网、桂林党建网</w:t>
            </w:r>
            <w:r>
              <w:rPr>
                <w:rFonts w:hint="eastAsia" w:eastAsia="方正仿宋_GBK"/>
                <w:snapToGrid w:val="0"/>
                <w:kern w:val="21"/>
                <w:sz w:val="20"/>
                <w:szCs w:val="20"/>
                <w:lang w:eastAsia="zh-CN"/>
              </w:rPr>
              <w:t>、</w:t>
            </w:r>
            <w:r>
              <w:rPr>
                <w:rFonts w:hint="eastAsia" w:eastAsia="方正仿宋_GBK"/>
                <w:snapToGrid w:val="0"/>
                <w:kern w:val="21"/>
                <w:sz w:val="20"/>
                <w:szCs w:val="20"/>
                <w:lang w:val="en-US" w:eastAsia="zh-CN"/>
              </w:rPr>
              <w:t>桂林市</w:t>
            </w:r>
            <w:r>
              <w:rPr>
                <w:rFonts w:eastAsia="方正仿宋_GBK"/>
                <w:snapToGrid w:val="0"/>
                <w:kern w:val="21"/>
                <w:sz w:val="20"/>
                <w:szCs w:val="20"/>
              </w:rPr>
              <w:t>人力资源社会</w:t>
            </w:r>
            <w:r>
              <w:rPr>
                <w:rFonts w:hint="eastAsia" w:eastAsia="方正仿宋_GBK"/>
                <w:snapToGrid w:val="0"/>
                <w:kern w:val="21"/>
                <w:sz w:val="20"/>
                <w:szCs w:val="20"/>
              </w:rPr>
              <w:t>保障</w:t>
            </w:r>
            <w:r>
              <w:rPr>
                <w:rFonts w:eastAsia="方正仿宋_GBK"/>
                <w:snapToGrid w:val="0"/>
                <w:kern w:val="21"/>
                <w:sz w:val="20"/>
                <w:szCs w:val="20"/>
              </w:rPr>
              <w:t>厅网站</w:t>
            </w:r>
          </w:p>
        </w:tc>
        <w:tc>
          <w:tcPr>
            <w:tcW w:w="1513" w:type="dxa"/>
            <w:vMerge w:val="restart"/>
            <w:noWrap w:val="0"/>
            <w:vAlign w:val="center"/>
          </w:tcPr>
          <w:p>
            <w:pPr>
              <w:spacing w:line="240" w:lineRule="exact"/>
              <w:jc w:val="left"/>
              <w:rPr>
                <w:rFonts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公务员公开遴选</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公务员公开遴选相关信息</w:t>
            </w:r>
          </w:p>
        </w:tc>
        <w:tc>
          <w:tcPr>
            <w:tcW w:w="1205" w:type="dxa"/>
            <w:vMerge w:val="continue"/>
            <w:noWrap w:val="0"/>
            <w:vAlign w:val="center"/>
          </w:tcPr>
          <w:p>
            <w:pPr>
              <w:adjustRightInd w:val="0"/>
              <w:snapToGrid w:val="0"/>
              <w:spacing w:line="240" w:lineRule="exact"/>
              <w:rPr>
                <w:rFonts w:eastAsia="方正仿宋_GBK"/>
                <w:snapToGrid w:val="0"/>
                <w:kern w:val="21"/>
                <w:sz w:val="20"/>
                <w:szCs w:val="20"/>
              </w:rPr>
            </w:pPr>
          </w:p>
        </w:tc>
        <w:tc>
          <w:tcPr>
            <w:tcW w:w="3021" w:type="dxa"/>
            <w:noWrap w:val="0"/>
            <w:vAlign w:val="center"/>
          </w:tcPr>
          <w:p>
            <w:pPr>
              <w:spacing w:line="240" w:lineRule="exact"/>
              <w:jc w:val="lef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2.</w:t>
            </w:r>
            <w:r>
              <w:rPr>
                <w:rFonts w:eastAsia="方正仿宋_GBK"/>
                <w:snapToGrid w:val="0"/>
                <w:kern w:val="21"/>
                <w:sz w:val="20"/>
                <w:szCs w:val="20"/>
              </w:rPr>
              <w:t>《公务员公开遴选办法》</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在自治区遴选统一规定时间</w:t>
            </w:r>
            <w:r>
              <w:rPr>
                <w:rFonts w:hint="eastAsia" w:eastAsia="方正仿宋_GBK"/>
                <w:snapToGrid w:val="0"/>
                <w:kern w:val="21"/>
                <w:sz w:val="20"/>
                <w:szCs w:val="20"/>
              </w:rPr>
              <w:t>公开</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发布时间不少于5个工作日</w:t>
            </w:r>
          </w:p>
        </w:tc>
        <w:tc>
          <w:tcPr>
            <w:tcW w:w="1076"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513"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183" w:type="dxa"/>
            <w:noWrap w:val="0"/>
            <w:vAlign w:val="center"/>
          </w:tcPr>
          <w:p>
            <w:pPr>
              <w:adjustRightInd w:val="0"/>
              <w:snapToGrid w:val="0"/>
              <w:spacing w:line="240" w:lineRule="exact"/>
              <w:rPr>
                <w:rFonts w:hint="eastAsia" w:eastAsia="方正仿宋_GBK"/>
                <w:snapToGrid w:val="0"/>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vMerge w:val="restart"/>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事业单位招聘</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事业单位招聘公告（含补充公告）</w:t>
            </w:r>
          </w:p>
        </w:tc>
        <w:tc>
          <w:tcPr>
            <w:tcW w:w="1205" w:type="dxa"/>
            <w:vMerge w:val="continue"/>
            <w:noWrap w:val="0"/>
            <w:vAlign w:val="center"/>
          </w:tcPr>
          <w:p>
            <w:pPr>
              <w:adjustRightInd w:val="0"/>
              <w:snapToGrid w:val="0"/>
              <w:spacing w:line="240" w:lineRule="exact"/>
              <w:rPr>
                <w:rFonts w:eastAsia="方正仿宋_GBK"/>
                <w:snapToGrid w:val="0"/>
                <w:kern w:val="21"/>
                <w:sz w:val="20"/>
                <w:szCs w:val="20"/>
              </w:rPr>
            </w:pPr>
          </w:p>
        </w:tc>
        <w:tc>
          <w:tcPr>
            <w:tcW w:w="3021" w:type="dxa"/>
            <w:vMerge w:val="restart"/>
            <w:noWrap w:val="0"/>
            <w:vAlign w:val="center"/>
          </w:tcPr>
          <w:p>
            <w:pPr>
              <w:adjustRightInd w:val="0"/>
              <w:snapToGrid w:val="0"/>
              <w:spacing w:line="220" w:lineRule="exac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adjustRightInd w:val="0"/>
              <w:snapToGrid w:val="0"/>
              <w:spacing w:line="220" w:lineRule="exact"/>
              <w:rPr>
                <w:rFonts w:hint="eastAsia" w:eastAsia="方正仿宋_GBK"/>
                <w:snapToGrid w:val="0"/>
                <w:kern w:val="21"/>
                <w:sz w:val="20"/>
                <w:szCs w:val="20"/>
              </w:rPr>
            </w:pPr>
            <w:r>
              <w:rPr>
                <w:rFonts w:eastAsia="方正仿宋_GBK"/>
                <w:snapToGrid w:val="0"/>
                <w:kern w:val="21"/>
                <w:sz w:val="20"/>
                <w:szCs w:val="20"/>
              </w:rPr>
              <w:t>2.</w:t>
            </w:r>
            <w:r>
              <w:rPr>
                <w:rFonts w:hint="eastAsia" w:eastAsia="方正仿宋_GBK"/>
                <w:snapToGrid w:val="0"/>
                <w:kern w:val="21"/>
                <w:sz w:val="20"/>
                <w:szCs w:val="20"/>
              </w:rPr>
              <w:t>《事业单位人事管理条例》</w:t>
            </w:r>
          </w:p>
          <w:p>
            <w:pPr>
              <w:adjustRightInd w:val="0"/>
              <w:snapToGrid w:val="0"/>
              <w:spacing w:line="220" w:lineRule="exact"/>
              <w:rPr>
                <w:rFonts w:eastAsia="方正仿宋_GBK"/>
                <w:snapToGrid w:val="0"/>
                <w:kern w:val="21"/>
                <w:sz w:val="20"/>
                <w:szCs w:val="20"/>
              </w:rPr>
            </w:pPr>
            <w:r>
              <w:rPr>
                <w:rFonts w:eastAsia="方正仿宋_GBK"/>
                <w:snapToGrid w:val="0"/>
                <w:kern w:val="21"/>
                <w:sz w:val="20"/>
                <w:szCs w:val="20"/>
              </w:rPr>
              <w:t>3.《</w:t>
            </w:r>
            <w:r>
              <w:rPr>
                <w:rFonts w:hint="eastAsia" w:eastAsia="方正仿宋_GBK"/>
                <w:snapToGrid w:val="0"/>
                <w:kern w:val="21"/>
                <w:sz w:val="20"/>
                <w:szCs w:val="20"/>
              </w:rPr>
              <w:t>中共中央组织部人力资源社会保障部关于进一步做好事业单位公开招聘工作的通知</w:t>
            </w:r>
            <w:r>
              <w:rPr>
                <w:rFonts w:eastAsia="方正仿宋_GBK"/>
                <w:snapToGrid w:val="0"/>
                <w:kern w:val="21"/>
                <w:sz w:val="20"/>
                <w:szCs w:val="20"/>
              </w:rPr>
              <w:t>》（人社部发〔2024〕57号）</w:t>
            </w:r>
          </w:p>
          <w:p>
            <w:pPr>
              <w:adjustRightInd w:val="0"/>
              <w:snapToGrid w:val="0"/>
              <w:spacing w:line="220" w:lineRule="exact"/>
              <w:rPr>
                <w:rFonts w:eastAsia="方正仿宋_GBK"/>
                <w:snapToGrid w:val="0"/>
                <w:kern w:val="21"/>
                <w:sz w:val="20"/>
                <w:szCs w:val="20"/>
              </w:rPr>
            </w:pPr>
            <w:r>
              <w:rPr>
                <w:rFonts w:eastAsia="方正仿宋_GBK"/>
                <w:snapToGrid w:val="0"/>
                <w:kern w:val="21"/>
                <w:sz w:val="20"/>
                <w:szCs w:val="20"/>
              </w:rPr>
              <w:t>4.《广西壮族自治区人力资源和社会保障厅关于落实</w:t>
            </w:r>
            <w:r>
              <w:rPr>
                <w:rFonts w:hint="eastAsia" w:eastAsia="方正仿宋_GBK"/>
                <w:snapToGrid w:val="0"/>
                <w:kern w:val="21"/>
                <w:sz w:val="20"/>
                <w:szCs w:val="20"/>
              </w:rPr>
              <w:t>“</w:t>
            </w:r>
            <w:r>
              <w:rPr>
                <w:rFonts w:eastAsia="方正仿宋_GBK"/>
                <w:snapToGrid w:val="0"/>
                <w:kern w:val="21"/>
                <w:sz w:val="20"/>
                <w:szCs w:val="20"/>
              </w:rPr>
              <w:t>放管服</w:t>
            </w:r>
            <w:r>
              <w:rPr>
                <w:rFonts w:hint="eastAsia" w:eastAsia="方正仿宋_GBK"/>
                <w:snapToGrid w:val="0"/>
                <w:kern w:val="21"/>
                <w:sz w:val="20"/>
                <w:szCs w:val="20"/>
              </w:rPr>
              <w:t>”</w:t>
            </w:r>
            <w:r>
              <w:rPr>
                <w:rFonts w:eastAsia="方正仿宋_GBK"/>
                <w:snapToGrid w:val="0"/>
                <w:kern w:val="21"/>
                <w:sz w:val="20"/>
                <w:szCs w:val="20"/>
              </w:rPr>
              <w:t>改革精简事业单位增人手续的通知》（桂人社规〔2018〕27号）</w:t>
            </w:r>
          </w:p>
          <w:p>
            <w:pPr>
              <w:adjustRightInd w:val="0"/>
              <w:snapToGrid w:val="0"/>
              <w:spacing w:line="220" w:lineRule="exact"/>
              <w:rPr>
                <w:rFonts w:eastAsia="方正仿宋_GBK"/>
                <w:snapToGrid w:val="0"/>
                <w:kern w:val="21"/>
                <w:sz w:val="20"/>
                <w:szCs w:val="20"/>
              </w:rPr>
            </w:pPr>
            <w:r>
              <w:rPr>
                <w:rFonts w:eastAsia="方正仿宋_GBK"/>
                <w:snapToGrid w:val="0"/>
                <w:kern w:val="21"/>
                <w:sz w:val="20"/>
                <w:szCs w:val="20"/>
              </w:rPr>
              <w:t>5.《</w:t>
            </w:r>
            <w:r>
              <w:rPr>
                <w:rFonts w:hint="eastAsia" w:eastAsia="方正仿宋_GBK"/>
                <w:snapToGrid w:val="0"/>
                <w:kern w:val="21"/>
                <w:sz w:val="20"/>
                <w:szCs w:val="20"/>
              </w:rPr>
              <w:t>中共广西壮族自治区委员会机构编制委员会办公室广西壮族自治区人力资源和社会保障厅关于进一步完善事业单位公开招聘工作的通知</w:t>
            </w:r>
            <w:r>
              <w:rPr>
                <w:rFonts w:eastAsia="方正仿宋_GBK"/>
                <w:snapToGrid w:val="0"/>
                <w:kern w:val="21"/>
                <w:sz w:val="20"/>
                <w:szCs w:val="20"/>
              </w:rPr>
              <w:t>》（桂人社规〔2021〕7号）</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在公开招聘启动正式报名之前发布</w:t>
            </w:r>
          </w:p>
        </w:tc>
        <w:tc>
          <w:tcPr>
            <w:tcW w:w="955" w:type="dxa"/>
            <w:noWrap w:val="0"/>
            <w:vAlign w:val="center"/>
          </w:tcPr>
          <w:p>
            <w:pPr>
              <w:adjustRightInd w:val="0"/>
              <w:snapToGrid w:val="0"/>
              <w:spacing w:line="240" w:lineRule="exact"/>
              <w:rPr>
                <w:rFonts w:eastAsia="方正仿宋_GBK"/>
                <w:snapToGrid w:val="0"/>
                <w:kern w:val="21"/>
                <w:sz w:val="20"/>
                <w:szCs w:val="20"/>
                <w:lang w:val="en"/>
              </w:rPr>
            </w:pPr>
            <w:r>
              <w:rPr>
                <w:rFonts w:eastAsia="方正仿宋_GBK"/>
                <w:snapToGrid w:val="0"/>
                <w:kern w:val="21"/>
                <w:sz w:val="20"/>
                <w:szCs w:val="20"/>
                <w:lang w:val="en"/>
              </w:rPr>
              <w:t>不少于3个月</w:t>
            </w:r>
          </w:p>
        </w:tc>
        <w:tc>
          <w:tcPr>
            <w:tcW w:w="1076"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513"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183" w:type="dxa"/>
            <w:noWrap w:val="0"/>
            <w:vAlign w:val="center"/>
          </w:tcPr>
          <w:p>
            <w:pPr>
              <w:adjustRightInd w:val="0"/>
              <w:snapToGrid w:val="0"/>
              <w:spacing w:line="240" w:lineRule="exact"/>
              <w:rPr>
                <w:rFonts w:hint="eastAsia" w:eastAsia="方正仿宋_GBK"/>
                <w:snapToGrid w:val="0"/>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0"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vMerge w:val="continue"/>
            <w:noWrap w:val="0"/>
            <w:vAlign w:val="center"/>
          </w:tcPr>
          <w:p>
            <w:pPr>
              <w:adjustRightInd w:val="0"/>
              <w:snapToGrid w:val="0"/>
              <w:spacing w:line="240" w:lineRule="exact"/>
              <w:rPr>
                <w:rFonts w:eastAsia="方正仿宋_GBK"/>
                <w:snapToGrid w:val="0"/>
                <w:kern w:val="21"/>
                <w:sz w:val="20"/>
                <w:szCs w:val="20"/>
              </w:rPr>
            </w:pP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事业单位招聘结果</w:t>
            </w:r>
          </w:p>
        </w:tc>
        <w:tc>
          <w:tcPr>
            <w:tcW w:w="1205" w:type="dxa"/>
            <w:vMerge w:val="continue"/>
            <w:noWrap w:val="0"/>
            <w:vAlign w:val="center"/>
          </w:tcPr>
          <w:p>
            <w:pPr>
              <w:adjustRightInd w:val="0"/>
              <w:snapToGrid w:val="0"/>
              <w:spacing w:line="240" w:lineRule="exact"/>
              <w:rPr>
                <w:rFonts w:eastAsia="方正仿宋_GBK"/>
                <w:snapToGrid w:val="0"/>
                <w:kern w:val="21"/>
                <w:sz w:val="20"/>
                <w:szCs w:val="20"/>
              </w:rPr>
            </w:pPr>
          </w:p>
        </w:tc>
        <w:tc>
          <w:tcPr>
            <w:tcW w:w="3021"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信息形成或变更之日起20个工作日内公开</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不少于7日且不少于5个工作日</w:t>
            </w:r>
          </w:p>
        </w:tc>
        <w:tc>
          <w:tcPr>
            <w:tcW w:w="1076"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513" w:type="dxa"/>
            <w:vMerge w:val="continue"/>
            <w:noWrap w:val="0"/>
            <w:vAlign w:val="center"/>
          </w:tcPr>
          <w:p>
            <w:pPr>
              <w:adjustRightInd w:val="0"/>
              <w:snapToGrid w:val="0"/>
              <w:spacing w:line="240" w:lineRule="exact"/>
              <w:rPr>
                <w:rFonts w:eastAsia="方正仿宋_GBK"/>
                <w:snapToGrid w:val="0"/>
                <w:kern w:val="21"/>
                <w:sz w:val="20"/>
                <w:szCs w:val="20"/>
              </w:rPr>
            </w:pP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人大代表建议</w:t>
            </w:r>
          </w:p>
        </w:tc>
        <w:tc>
          <w:tcPr>
            <w:tcW w:w="969" w:type="dxa"/>
            <w:vMerge w:val="restart"/>
            <w:noWrap w:val="0"/>
            <w:vAlign w:val="center"/>
          </w:tcPr>
          <w:p>
            <w:pPr>
              <w:adjustRightInd w:val="0"/>
              <w:snapToGrid w:val="0"/>
              <w:spacing w:line="240" w:lineRule="exact"/>
              <w:jc w:val="center"/>
              <w:rPr>
                <w:rFonts w:eastAsia="方正仿宋_GBK"/>
                <w:snapToGrid w:val="0"/>
                <w:kern w:val="21"/>
                <w:sz w:val="20"/>
                <w:szCs w:val="20"/>
              </w:rPr>
            </w:pPr>
            <w:r>
              <w:rPr>
                <w:rFonts w:eastAsia="方正仿宋_GBK"/>
                <w:snapToGrid w:val="0"/>
                <w:kern w:val="21"/>
                <w:sz w:val="20"/>
                <w:szCs w:val="20"/>
              </w:rPr>
              <w:t>建议提案</w:t>
            </w: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由县级以</w:t>
            </w:r>
            <w:r>
              <w:rPr>
                <w:rFonts w:hint="eastAsia" w:eastAsia="方正仿宋_GBK"/>
                <w:snapToGrid w:val="0"/>
                <w:kern w:val="21"/>
                <w:sz w:val="20"/>
                <w:szCs w:val="20"/>
              </w:rPr>
              <w:t>上</w:t>
            </w:r>
            <w:r>
              <w:rPr>
                <w:rFonts w:eastAsia="方正仿宋_GBK"/>
                <w:snapToGrid w:val="0"/>
                <w:kern w:val="21"/>
                <w:sz w:val="20"/>
                <w:szCs w:val="20"/>
              </w:rPr>
              <w:t>人民政府办公</w:t>
            </w:r>
            <w:r>
              <w:rPr>
                <w:rFonts w:hint="eastAsia" w:eastAsia="方正仿宋_GBK"/>
                <w:snapToGrid w:val="0"/>
                <w:kern w:val="21"/>
                <w:sz w:val="20"/>
                <w:szCs w:val="20"/>
              </w:rPr>
              <w:t>厅（</w:t>
            </w:r>
            <w:r>
              <w:rPr>
                <w:rFonts w:eastAsia="方正仿宋_GBK"/>
                <w:snapToGrid w:val="0"/>
                <w:kern w:val="21"/>
                <w:sz w:val="20"/>
                <w:szCs w:val="20"/>
              </w:rPr>
              <w:t>室</w:t>
            </w:r>
            <w:r>
              <w:rPr>
                <w:rFonts w:hint="eastAsia" w:eastAsia="方正仿宋_GBK"/>
                <w:snapToGrid w:val="0"/>
                <w:kern w:val="21"/>
                <w:sz w:val="20"/>
                <w:szCs w:val="20"/>
              </w:rPr>
              <w:t>）答复的人大代表建议、应当公开答复内容</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vMerge w:val="restart"/>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2.</w:t>
            </w:r>
            <w:r>
              <w:rPr>
                <w:rFonts w:eastAsia="方正仿宋_GBK"/>
                <w:snapToGrid w:val="0"/>
                <w:kern w:val="21"/>
                <w:sz w:val="20"/>
                <w:szCs w:val="20"/>
              </w:rPr>
              <w:t>《广西壮族自治区人民代表大会建议、批评和意见工作条例》</w:t>
            </w:r>
          </w:p>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3.《</w:t>
            </w:r>
            <w:r>
              <w:rPr>
                <w:rFonts w:eastAsia="方正仿宋_GBK"/>
                <w:snapToGrid w:val="0"/>
                <w:kern w:val="21"/>
                <w:sz w:val="20"/>
                <w:szCs w:val="20"/>
              </w:rPr>
              <w:t>广西壮族自治区人民政府办公厅关于做好自治区人大代表建议和自治区政协委员提案公开工作的通知</w:t>
            </w:r>
            <w:r>
              <w:rPr>
                <w:rFonts w:hint="eastAsia" w:eastAsia="方正仿宋_GBK"/>
                <w:snapToGrid w:val="0"/>
                <w:kern w:val="21"/>
                <w:sz w:val="20"/>
                <w:szCs w:val="20"/>
              </w:rPr>
              <w:t>》</w:t>
            </w:r>
            <w:r>
              <w:rPr>
                <w:rFonts w:eastAsia="方正仿宋_GBK"/>
                <w:snapToGrid w:val="0"/>
                <w:kern w:val="21"/>
                <w:sz w:val="20"/>
                <w:szCs w:val="20"/>
              </w:rPr>
              <w:t>（桂政办发〔2017〕189号）</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信息形成或变更之日起20个工作日</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政协委员提案</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由</w:t>
            </w:r>
            <w:r>
              <w:rPr>
                <w:rFonts w:hint="eastAsia" w:eastAsia="方正仿宋_GBK"/>
                <w:snapToGrid w:val="0"/>
                <w:kern w:val="21"/>
                <w:sz w:val="20"/>
                <w:szCs w:val="20"/>
              </w:rPr>
              <w:t>县级以上人民政府办公厅（室）答复的政协委员提案、应当公开答复内容</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vMerge w:val="continue"/>
            <w:noWrap w:val="0"/>
            <w:vAlign w:val="center"/>
          </w:tcPr>
          <w:p>
            <w:pPr>
              <w:adjustRightInd w:val="0"/>
              <w:snapToGrid w:val="0"/>
              <w:spacing w:line="240" w:lineRule="exact"/>
              <w:rPr>
                <w:rFonts w:hint="eastAsia" w:eastAsia="方正仿宋_GBK"/>
                <w:snapToGrid w:val="0"/>
                <w:kern w:val="21"/>
                <w:sz w:val="20"/>
                <w:szCs w:val="20"/>
              </w:rPr>
            </w:pPr>
          </w:p>
        </w:tc>
        <w:tc>
          <w:tcPr>
            <w:tcW w:w="1424"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信息形成或变更之日起20个工作日内公开</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80"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bookmarkStart w:id="0" w:name="_GoBack" w:colFirst="1" w:colLast="9"/>
          </w:p>
        </w:tc>
        <w:tc>
          <w:tcPr>
            <w:tcW w:w="1814"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rPr>
              <w:t>法治政府建设年度报告</w:t>
            </w:r>
          </w:p>
        </w:tc>
        <w:tc>
          <w:tcPr>
            <w:tcW w:w="969"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rPr>
              <w:t>法治建设</w:t>
            </w:r>
          </w:p>
        </w:tc>
        <w:tc>
          <w:tcPr>
            <w:tcW w:w="1916"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rPr>
              <w:t>法治政府建设年度报告</w:t>
            </w:r>
          </w:p>
        </w:tc>
        <w:tc>
          <w:tcPr>
            <w:tcW w:w="1205"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lang w:val="en-US" w:eastAsia="zh-CN"/>
              </w:rPr>
              <w:t>七星区</w:t>
            </w:r>
            <w:r>
              <w:rPr>
                <w:rFonts w:hint="eastAsia" w:eastAsia="方正仿宋_GBK"/>
                <w:snapToGrid w:val="0"/>
                <w:kern w:val="21"/>
                <w:sz w:val="20"/>
                <w:szCs w:val="20"/>
              </w:rPr>
              <w:t>大数据发展和政务服务部门</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1.《中华人民共和国政府信息公开条例》</w:t>
            </w:r>
          </w:p>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2.《法治政府建设与责任落实督察工作规定》</w:t>
            </w:r>
          </w:p>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rPr>
              <w:t>3.《广西壮族自治区党委依法治区办关于进一步规范全区法治政府建设年度报告发布工作的通知》（桂法办通〔2024〕6号）</w:t>
            </w:r>
          </w:p>
        </w:tc>
        <w:tc>
          <w:tcPr>
            <w:tcW w:w="1424"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rPr>
              <w:t>每年4月1日之前</w:t>
            </w:r>
          </w:p>
        </w:tc>
        <w:tc>
          <w:tcPr>
            <w:tcW w:w="955"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rPr>
              <w:t>长期</w:t>
            </w:r>
          </w:p>
        </w:tc>
        <w:tc>
          <w:tcPr>
            <w:tcW w:w="1076"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lang w:val="en-US" w:eastAsia="zh-CN"/>
              </w:rPr>
              <w:t>桂林市七星区政府门户网站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lang w:val="en-US" w:eastAsia="zh-CN"/>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政府信息公开指南</w:t>
            </w:r>
          </w:p>
        </w:tc>
        <w:tc>
          <w:tcPr>
            <w:tcW w:w="969" w:type="dxa"/>
            <w:vMerge w:val="restart"/>
            <w:noWrap w:val="0"/>
            <w:vAlign w:val="center"/>
          </w:tcPr>
          <w:p>
            <w:pPr>
              <w:adjustRightInd w:val="0"/>
              <w:snapToGrid w:val="0"/>
              <w:spacing w:line="240" w:lineRule="exact"/>
              <w:jc w:val="center"/>
              <w:rPr>
                <w:rFonts w:eastAsia="方正仿宋_GBK"/>
                <w:snapToGrid w:val="0"/>
                <w:kern w:val="21"/>
                <w:sz w:val="20"/>
                <w:szCs w:val="20"/>
              </w:rPr>
            </w:pPr>
            <w:r>
              <w:rPr>
                <w:rFonts w:eastAsia="方正仿宋_GBK"/>
                <w:snapToGrid w:val="0"/>
                <w:kern w:val="21"/>
                <w:sz w:val="20"/>
                <w:szCs w:val="20"/>
              </w:rPr>
              <w:t>政府信息公开</w:t>
            </w: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政府信息主动公开、依申请公开有关情况、监督方式等</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《中华人民共和国政府信息公开条例》</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信息形成或变更之日起20个工作日</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政府信息公开目录</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rPr>
              <w:t>政府信息公开目录</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《中华人民共和国政府信息公开条例》</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信息形成或变更之日起20个工作日</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4" w:type="dxa"/>
            <w:noWrap w:val="0"/>
            <w:vAlign w:val="center"/>
          </w:tcPr>
          <w:p>
            <w:pPr>
              <w:numPr>
                <w:ilvl w:val="0"/>
                <w:numId w:val="1"/>
              </w:numPr>
              <w:adjustRightInd w:val="0"/>
              <w:snapToGrid w:val="0"/>
              <w:spacing w:line="240" w:lineRule="exact"/>
              <w:jc w:val="center"/>
              <w:rPr>
                <w:rFonts w:eastAsia="方正仿宋_GBK"/>
                <w:snapToGrid w:val="0"/>
                <w:kern w:val="21"/>
                <w:sz w:val="20"/>
                <w:szCs w:val="20"/>
              </w:rPr>
            </w:pPr>
          </w:p>
        </w:tc>
        <w:tc>
          <w:tcPr>
            <w:tcW w:w="1814"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政府信息公开工作年度报告</w:t>
            </w:r>
          </w:p>
        </w:tc>
        <w:tc>
          <w:tcPr>
            <w:tcW w:w="969" w:type="dxa"/>
            <w:vMerge w:val="continue"/>
            <w:noWrap w:val="0"/>
            <w:vAlign w:val="center"/>
          </w:tcPr>
          <w:p>
            <w:pPr>
              <w:adjustRightInd w:val="0"/>
              <w:snapToGrid w:val="0"/>
              <w:spacing w:line="240" w:lineRule="exact"/>
              <w:jc w:val="center"/>
              <w:rPr>
                <w:rFonts w:eastAsia="方正仿宋_GBK"/>
                <w:snapToGrid w:val="0"/>
                <w:kern w:val="21"/>
                <w:sz w:val="20"/>
                <w:szCs w:val="20"/>
              </w:rPr>
            </w:pPr>
          </w:p>
        </w:tc>
        <w:tc>
          <w:tcPr>
            <w:tcW w:w="1916"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rPr>
              <w:t>政府信息公开工作年度报告</w:t>
            </w:r>
          </w:p>
        </w:tc>
        <w:tc>
          <w:tcPr>
            <w:tcW w:w="1205"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3021" w:type="dxa"/>
            <w:noWrap w:val="0"/>
            <w:vAlign w:val="center"/>
          </w:tcPr>
          <w:p>
            <w:pPr>
              <w:adjustRightInd w:val="0"/>
              <w:snapToGrid w:val="0"/>
              <w:spacing w:line="240" w:lineRule="exact"/>
              <w:rPr>
                <w:rFonts w:hint="eastAsia" w:eastAsia="方正仿宋_GBK"/>
                <w:snapToGrid w:val="0"/>
                <w:kern w:val="21"/>
                <w:sz w:val="20"/>
                <w:szCs w:val="20"/>
              </w:rPr>
            </w:pPr>
            <w:r>
              <w:rPr>
                <w:rFonts w:eastAsia="方正仿宋_GBK"/>
                <w:snapToGrid w:val="0"/>
                <w:kern w:val="21"/>
                <w:sz w:val="20"/>
                <w:szCs w:val="20"/>
              </w:rPr>
              <w:t>《中华人民共和国政府信息公开条例》</w:t>
            </w:r>
          </w:p>
        </w:tc>
        <w:tc>
          <w:tcPr>
            <w:tcW w:w="1424"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每年</w:t>
            </w:r>
            <w:r>
              <w:rPr>
                <w:rFonts w:hint="eastAsia" w:eastAsia="方正仿宋_GBK"/>
                <w:snapToGrid w:val="0"/>
                <w:kern w:val="21"/>
                <w:sz w:val="20"/>
                <w:szCs w:val="20"/>
              </w:rPr>
              <w:t>1</w:t>
            </w:r>
            <w:r>
              <w:rPr>
                <w:rFonts w:eastAsia="方正仿宋_GBK"/>
                <w:snapToGrid w:val="0"/>
                <w:kern w:val="21"/>
                <w:sz w:val="20"/>
                <w:szCs w:val="20"/>
              </w:rPr>
              <w:t>月31日前</w:t>
            </w:r>
          </w:p>
        </w:tc>
        <w:tc>
          <w:tcPr>
            <w:tcW w:w="955" w:type="dxa"/>
            <w:noWrap w:val="0"/>
            <w:vAlign w:val="center"/>
          </w:tcPr>
          <w:p>
            <w:pPr>
              <w:adjustRightInd w:val="0"/>
              <w:snapToGrid w:val="0"/>
              <w:spacing w:line="240" w:lineRule="exact"/>
              <w:rPr>
                <w:rFonts w:eastAsia="方正仿宋_GBK"/>
                <w:snapToGrid w:val="0"/>
                <w:kern w:val="21"/>
                <w:sz w:val="20"/>
                <w:szCs w:val="20"/>
              </w:rPr>
            </w:pPr>
            <w:r>
              <w:rPr>
                <w:rFonts w:eastAsia="方正仿宋_GBK"/>
                <w:snapToGrid w:val="0"/>
                <w:kern w:val="21"/>
                <w:sz w:val="20"/>
                <w:szCs w:val="20"/>
              </w:rPr>
              <w:t>长期</w:t>
            </w:r>
          </w:p>
        </w:tc>
        <w:tc>
          <w:tcPr>
            <w:tcW w:w="1076" w:type="dxa"/>
            <w:noWrap w:val="0"/>
            <w:vAlign w:val="center"/>
          </w:tcPr>
          <w:p>
            <w:pPr>
              <w:adjustRightInd w:val="0"/>
              <w:snapToGrid w:val="0"/>
              <w:spacing w:line="240" w:lineRule="exact"/>
              <w:rPr>
                <w:rFonts w:eastAsia="方正仿宋_GBK"/>
                <w:snapToGrid w:val="0"/>
                <w:kern w:val="21"/>
                <w:sz w:val="20"/>
                <w:szCs w:val="20"/>
              </w:rPr>
            </w:pPr>
            <w:r>
              <w:rPr>
                <w:rFonts w:hint="eastAsia" w:eastAsia="方正仿宋_GBK"/>
                <w:snapToGrid w:val="0"/>
                <w:kern w:val="21"/>
                <w:sz w:val="20"/>
                <w:szCs w:val="20"/>
                <w:lang w:val="en-US" w:eastAsia="zh-CN"/>
              </w:rPr>
              <w:t>桂林市七星区</w:t>
            </w:r>
            <w:r>
              <w:rPr>
                <w:rFonts w:eastAsia="方正仿宋_GBK"/>
                <w:snapToGrid w:val="0"/>
                <w:kern w:val="21"/>
                <w:sz w:val="20"/>
                <w:szCs w:val="20"/>
              </w:rPr>
              <w:t>政府门户网站</w:t>
            </w:r>
          </w:p>
        </w:tc>
        <w:tc>
          <w:tcPr>
            <w:tcW w:w="1513" w:type="dxa"/>
            <w:noWrap w:val="0"/>
            <w:vAlign w:val="center"/>
          </w:tcPr>
          <w:p>
            <w:pPr>
              <w:adjustRightInd w:val="0"/>
              <w:snapToGrid w:val="0"/>
              <w:spacing w:line="240" w:lineRule="exact"/>
              <w:rPr>
                <w:rFonts w:hint="eastAsia" w:eastAsia="方正仿宋_GBK"/>
                <w:snapToGrid w:val="0"/>
                <w:kern w:val="21"/>
                <w:sz w:val="20"/>
                <w:szCs w:val="20"/>
              </w:rPr>
            </w:pPr>
            <w:r>
              <w:rPr>
                <w:rFonts w:hint="eastAsia" w:eastAsia="方正仿宋_GBK"/>
                <w:snapToGrid w:val="0"/>
                <w:kern w:val="21"/>
                <w:sz w:val="20"/>
                <w:szCs w:val="20"/>
                <w:lang w:val="en-US" w:eastAsia="zh-CN"/>
              </w:rPr>
              <w:t>七星区人民政府办公室</w:t>
            </w:r>
          </w:p>
        </w:tc>
        <w:tc>
          <w:tcPr>
            <w:tcW w:w="1183" w:type="dxa"/>
            <w:noWrap w:val="0"/>
            <w:vAlign w:val="center"/>
          </w:tcPr>
          <w:p>
            <w:pPr>
              <w:adjustRightInd w:val="0"/>
              <w:snapToGrid w:val="0"/>
              <w:spacing w:line="240" w:lineRule="exact"/>
              <w:rPr>
                <w:rFonts w:hint="eastAsia" w:eastAsia="方正仿宋_GBK"/>
                <w:snapToGrid w:val="0"/>
                <w:kern w:val="21"/>
                <w:sz w:val="20"/>
                <w:szCs w:val="20"/>
              </w:rPr>
            </w:pPr>
          </w:p>
        </w:tc>
      </w:tr>
    </w:tbl>
    <w:p/>
    <w:sectPr>
      <w:pgSz w:w="16838" w:h="11906" w:orient="landscape"/>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0000002F"/>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1A7A"/>
    <w:rsid w:val="03086F60"/>
    <w:rsid w:val="0FF91A7A"/>
    <w:rsid w:val="15C907AA"/>
    <w:rsid w:val="200B3F8B"/>
    <w:rsid w:val="38DD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2025-09-15T02:44:00Z</dcterms:created>
  <dc:creator>鸦云鸦云</dc:creator>
  <cp:lastModifiedBy>鸦云鸦云</cp:lastModifiedBy>
  <cp:lastPrinted>2025-09-15T09:04:00Z</cp:lastPrinted>
  <dcterms:modified xsi:type="dcterms:W3CDTF">2025-12-16T08:25:23Z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