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eastAsia="方正小标宋_GBK"/>
          <w:sz w:val="44"/>
          <w:szCs w:val="44"/>
        </w:rPr>
      </w:pPr>
      <w:bookmarkStart w:id="1" w:name="_GoBack"/>
      <w:bookmarkStart w:id="0" w:name="_Toc24724722"/>
      <w:r>
        <w:rPr>
          <w:rFonts w:hint="eastAsia" w:ascii="方正小标宋_GBK" w:eastAsia="方正小标宋_GBK"/>
          <w:sz w:val="44"/>
          <w:szCs w:val="44"/>
          <w:lang w:eastAsia="zh-CN"/>
        </w:rPr>
        <w:t>（十九）</w:t>
      </w:r>
      <w:r>
        <w:rPr>
          <w:rFonts w:hint="eastAsia" w:ascii="方正小标宋_GBK" w:eastAsia="方正小标宋_GBK"/>
          <w:sz w:val="44"/>
          <w:szCs w:val="44"/>
        </w:rPr>
        <w:t>涉农补贴领域基层政务公开标准目录</w:t>
      </w:r>
      <w:bookmarkEnd w:id="0"/>
    </w:p>
    <w:tbl>
      <w:tblPr>
        <w:tblStyle w:val="3"/>
        <w:tblW w:w="15300" w:type="dxa"/>
        <w:jc w:val="center"/>
        <w:tblInd w:w="0" w:type="dxa"/>
        <w:tblLayout w:type="fixed"/>
        <w:tblCellMar>
          <w:top w:w="0" w:type="dxa"/>
          <w:left w:w="108" w:type="dxa"/>
          <w:bottom w:w="0" w:type="dxa"/>
          <w:right w:w="108" w:type="dxa"/>
        </w:tblCellMar>
      </w:tblPr>
      <w:tblGrid>
        <w:gridCol w:w="540"/>
        <w:gridCol w:w="720"/>
        <w:gridCol w:w="900"/>
        <w:gridCol w:w="2340"/>
        <w:gridCol w:w="1792"/>
        <w:gridCol w:w="2348"/>
        <w:gridCol w:w="1260"/>
        <w:gridCol w:w="1609"/>
        <w:gridCol w:w="551"/>
        <w:gridCol w:w="709"/>
        <w:gridCol w:w="11"/>
        <w:gridCol w:w="540"/>
        <w:gridCol w:w="720"/>
        <w:gridCol w:w="720"/>
        <w:gridCol w:w="540"/>
      </w:tblGrid>
      <w:tr>
        <w:tblPrEx>
          <w:tblLayout w:type="fixed"/>
          <w:tblCellMar>
            <w:top w:w="0" w:type="dxa"/>
            <w:left w:w="108" w:type="dxa"/>
            <w:bottom w:w="0" w:type="dxa"/>
            <w:right w:w="108" w:type="dxa"/>
          </w:tblCellMar>
        </w:tblPrEx>
        <w:trPr>
          <w:cantSplit/>
          <w:jc w:val="center"/>
        </w:trPr>
        <w:tc>
          <w:tcPr>
            <w:tcW w:w="5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162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公开事项</w:t>
            </w:r>
          </w:p>
        </w:tc>
        <w:tc>
          <w:tcPr>
            <w:tcW w:w="234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公开内容</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（要素）</w:t>
            </w:r>
          </w:p>
        </w:tc>
        <w:tc>
          <w:tcPr>
            <w:tcW w:w="179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w:t>
            </w:r>
          </w:p>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主体</w:t>
            </w:r>
          </w:p>
        </w:tc>
        <w:tc>
          <w:tcPr>
            <w:tcW w:w="234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rPr>
              <w:t>公开</w:t>
            </w:r>
            <w:r>
              <w:rPr>
                <w:rFonts w:hint="eastAsia" w:ascii="宋体" w:hAnsi="宋体" w:cs="宋体"/>
                <w:color w:val="000000"/>
                <w:kern w:val="0"/>
                <w:sz w:val="24"/>
                <w:szCs w:val="24"/>
                <w:lang w:eastAsia="zh-CN"/>
              </w:rPr>
              <w:t>依据</w:t>
            </w:r>
          </w:p>
        </w:tc>
        <w:tc>
          <w:tcPr>
            <w:tcW w:w="126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000000"/>
                <w:kern w:val="0"/>
                <w:sz w:val="24"/>
                <w:szCs w:val="24"/>
                <w:lang w:eastAsia="zh-CN"/>
              </w:rPr>
            </w:pPr>
            <w:r>
              <w:rPr>
                <w:rFonts w:hint="eastAsia" w:ascii="宋体" w:hAnsi="宋体" w:eastAsia="宋体" w:cs="宋体"/>
                <w:color w:val="000000"/>
                <w:kern w:val="0"/>
                <w:sz w:val="24"/>
                <w:szCs w:val="24"/>
              </w:rPr>
              <w:t>公</w:t>
            </w:r>
            <w:r>
              <w:rPr>
                <w:rFonts w:hint="eastAsia" w:ascii="宋体" w:hAnsi="宋体" w:cs="宋体"/>
                <w:color w:val="000000"/>
                <w:kern w:val="0"/>
                <w:sz w:val="24"/>
                <w:szCs w:val="24"/>
                <w:lang w:eastAsia="zh-CN"/>
              </w:rPr>
              <w:t>开</w:t>
            </w:r>
          </w:p>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时限</w:t>
            </w:r>
          </w:p>
        </w:tc>
        <w:tc>
          <w:tcPr>
            <w:tcW w:w="160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4"/>
                <w:szCs w:val="24"/>
              </w:rPr>
            </w:pPr>
            <w:r>
              <w:rPr>
                <w:rFonts w:hint="eastAsia" w:ascii="宋体" w:hAnsi="宋体" w:eastAsia="宋体" w:cs="宋体"/>
                <w:kern w:val="0"/>
                <w:sz w:val="24"/>
                <w:szCs w:val="24"/>
              </w:rPr>
              <w:t>公开渠道和载体</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公开对象</w:t>
            </w:r>
          </w:p>
        </w:tc>
        <w:tc>
          <w:tcPr>
            <w:tcW w:w="1271" w:type="dxa"/>
            <w:gridSpan w:val="3"/>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公开方式</w:t>
            </w:r>
          </w:p>
        </w:tc>
        <w:tc>
          <w:tcPr>
            <w:tcW w:w="1260"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公开层级</w:t>
            </w:r>
          </w:p>
        </w:tc>
      </w:tr>
      <w:tr>
        <w:tblPrEx>
          <w:tblLayout w:type="fixed"/>
          <w:tblCellMar>
            <w:top w:w="0" w:type="dxa"/>
            <w:left w:w="108" w:type="dxa"/>
            <w:bottom w:w="0" w:type="dxa"/>
            <w:right w:w="108" w:type="dxa"/>
          </w:tblCellMar>
        </w:tblPrEx>
        <w:trPr>
          <w:cantSplit/>
          <w:jc w:val="center"/>
        </w:trPr>
        <w:tc>
          <w:tcPr>
            <w:tcW w:w="5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7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一级事项</w:t>
            </w:r>
          </w:p>
        </w:tc>
        <w:tc>
          <w:tcPr>
            <w:tcW w:w="90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二级事项</w:t>
            </w:r>
          </w:p>
        </w:tc>
        <w:tc>
          <w:tcPr>
            <w:tcW w:w="234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7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234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6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p>
        </w:tc>
        <w:tc>
          <w:tcPr>
            <w:tcW w:w="55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全社会</w:t>
            </w:r>
          </w:p>
        </w:tc>
        <w:tc>
          <w:tcPr>
            <w:tcW w:w="709"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特定群众</w:t>
            </w:r>
          </w:p>
        </w:tc>
        <w:tc>
          <w:tcPr>
            <w:tcW w:w="551" w:type="dxa"/>
            <w:gridSpan w:val="2"/>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主动</w:t>
            </w:r>
          </w:p>
        </w:tc>
        <w:tc>
          <w:tcPr>
            <w:tcW w:w="7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依申请公开</w:t>
            </w:r>
          </w:p>
        </w:tc>
        <w:tc>
          <w:tcPr>
            <w:tcW w:w="72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eastAsia="zh-CN"/>
              </w:rPr>
              <w:t>区</w:t>
            </w:r>
            <w:r>
              <w:rPr>
                <w:rFonts w:hint="eastAsia" w:ascii="宋体" w:hAnsi="宋体" w:eastAsia="宋体" w:cs="宋体"/>
                <w:color w:val="000000"/>
                <w:kern w:val="0"/>
                <w:sz w:val="24"/>
                <w:szCs w:val="24"/>
              </w:rPr>
              <w:t>级</w:t>
            </w:r>
          </w:p>
        </w:tc>
        <w:tc>
          <w:tcPr>
            <w:tcW w:w="54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乡级</w:t>
            </w:r>
          </w:p>
        </w:tc>
      </w:tr>
      <w:tr>
        <w:tblPrEx>
          <w:tblLayout w:type="fixed"/>
          <w:tblCellMar>
            <w:top w:w="0" w:type="dxa"/>
            <w:left w:w="108" w:type="dxa"/>
            <w:bottom w:w="0" w:type="dxa"/>
            <w:right w:w="108" w:type="dxa"/>
          </w:tblCellMar>
        </w:tblPrEx>
        <w:trPr>
          <w:cantSplit/>
          <w:trHeight w:val="90"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农机购置补贴</w:t>
            </w:r>
          </w:p>
        </w:tc>
        <w:tc>
          <w:tcPr>
            <w:tcW w:w="234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政策依据；</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申请指南：包括补贴对象、补贴范围、补贴标准、申请程序、申请材料、咨询电话、受理单位、办理时限、联系方式等；</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补贴结果；</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监督渠道：包括举报电话、地址等。</w:t>
            </w:r>
          </w:p>
        </w:tc>
        <w:tc>
          <w:tcPr>
            <w:tcW w:w="1792" w:type="dxa"/>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区农业农村局</w:t>
            </w:r>
          </w:p>
        </w:tc>
        <w:tc>
          <w:tcPr>
            <w:tcW w:w="2348"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《农业机械化促进法》、《农业生产发展资金管理办法》（财农〔2017〕41号）、《2018-2020年农机购置补贴实施指导意见》（农办财〔2018〕13号）</w:t>
            </w:r>
          </w:p>
        </w:tc>
        <w:tc>
          <w:tcPr>
            <w:tcW w:w="126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cs="宋体"/>
                <w:sz w:val="24"/>
                <w:szCs w:val="24"/>
                <w:lang w:eastAsia="zh-CN"/>
              </w:rPr>
              <w:t>制定或获取信息</w:t>
            </w:r>
            <w:r>
              <w:rPr>
                <w:rFonts w:hint="eastAsia" w:ascii="宋体" w:hAnsi="宋体" w:eastAsia="宋体" w:cs="宋体"/>
                <w:sz w:val="24"/>
                <w:szCs w:val="24"/>
              </w:rPr>
              <w:t>之日起</w:t>
            </w:r>
            <w:r>
              <w:rPr>
                <w:rFonts w:hint="eastAsia" w:ascii="宋体" w:hAnsi="宋体" w:cs="宋体"/>
                <w:sz w:val="24"/>
                <w:szCs w:val="24"/>
                <w:lang w:val="en-US" w:eastAsia="zh-CN"/>
              </w:rPr>
              <w:t>10</w:t>
            </w:r>
            <w:r>
              <w:rPr>
                <w:rFonts w:hint="eastAsia" w:ascii="宋体" w:hAnsi="宋体" w:eastAsia="宋体" w:cs="宋体"/>
                <w:sz w:val="24"/>
                <w:szCs w:val="24"/>
              </w:rPr>
              <w:t>个工作日内。</w:t>
            </w:r>
          </w:p>
          <w:p>
            <w:pPr>
              <w:spacing w:line="240" w:lineRule="exact"/>
              <w:jc w:val="both"/>
              <w:rPr>
                <w:rFonts w:hint="eastAsia" w:ascii="宋体" w:hAnsi="宋体" w:eastAsia="宋体" w:cs="宋体"/>
                <w:sz w:val="24"/>
                <w:szCs w:val="24"/>
              </w:rPr>
            </w:pPr>
          </w:p>
        </w:tc>
        <w:tc>
          <w:tcPr>
            <w:tcW w:w="1609" w:type="dxa"/>
            <w:tcBorders>
              <w:top w:val="single" w:color="auto" w:sz="4" w:space="0"/>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napToGrid w:val="0"/>
              <w:spacing w:line="300" w:lineRule="exact"/>
              <w:rPr>
                <w:rFonts w:hint="eastAsia" w:ascii="Times New Roman" w:hAnsi="Times New Roman" w:eastAsia="方正仿宋_GBK" w:cs="方正仿宋_GBK"/>
                <w:color w:val="000000"/>
                <w:kern w:val="2"/>
                <w:sz w:val="24"/>
                <w:szCs w:val="24"/>
                <w:lang w:val="en-US" w:eastAsia="zh-CN" w:bidi="ar-SA"/>
              </w:rPr>
            </w:pPr>
            <w:r>
              <w:rPr>
                <w:rFonts w:hint="eastAsia" w:eastAsia="方正仿宋_GBK" w:cs="方正仿宋_GBK"/>
                <w:color w:val="000000"/>
                <w:sz w:val="24"/>
              </w:rPr>
              <w:t xml:space="preserve">□其他                                                                                                                                                                                                    </w:t>
            </w:r>
          </w:p>
        </w:tc>
        <w:tc>
          <w:tcPr>
            <w:tcW w:w="5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cantSplit/>
          <w:trHeight w:val="2652"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耕地地力保护</w:t>
            </w:r>
          </w:p>
        </w:tc>
        <w:tc>
          <w:tcPr>
            <w:tcW w:w="234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政策依据；</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申请指南：包括补贴对象、补贴范围、补贴标准、申请程序、申请材料、咨询电话、受理单位、办理时限、联系方式等；</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补贴结果；</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监督渠道：包括举报电话、地址等。</w:t>
            </w:r>
          </w:p>
        </w:tc>
        <w:tc>
          <w:tcPr>
            <w:tcW w:w="1792" w:type="dxa"/>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区农业农村局</w:t>
            </w:r>
          </w:p>
        </w:tc>
        <w:tc>
          <w:tcPr>
            <w:tcW w:w="2348"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《农业生产发展资金管理办法》（财农〔2017〕41号）、《财政部 农业部关于全面推开农业“三项补贴”改革工作的通知》（财农〔2016〕26号）</w:t>
            </w:r>
          </w:p>
        </w:tc>
        <w:tc>
          <w:tcPr>
            <w:tcW w:w="126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cs="宋体"/>
                <w:sz w:val="24"/>
                <w:szCs w:val="24"/>
                <w:lang w:eastAsia="zh-CN"/>
              </w:rPr>
              <w:t>制定或获取信息</w:t>
            </w:r>
            <w:r>
              <w:rPr>
                <w:rFonts w:hint="eastAsia" w:ascii="宋体" w:hAnsi="宋体" w:eastAsia="宋体" w:cs="宋体"/>
                <w:sz w:val="24"/>
                <w:szCs w:val="24"/>
              </w:rPr>
              <w:t>之日起</w:t>
            </w:r>
            <w:r>
              <w:rPr>
                <w:rFonts w:hint="eastAsia" w:ascii="宋体" w:hAnsi="宋体" w:cs="宋体"/>
                <w:sz w:val="24"/>
                <w:szCs w:val="24"/>
                <w:lang w:val="en-US" w:eastAsia="zh-CN"/>
              </w:rPr>
              <w:t>10</w:t>
            </w:r>
            <w:r>
              <w:rPr>
                <w:rFonts w:hint="eastAsia" w:ascii="宋体" w:hAnsi="宋体" w:eastAsia="宋体" w:cs="宋体"/>
                <w:sz w:val="24"/>
                <w:szCs w:val="24"/>
              </w:rPr>
              <w:t>个工作日内。</w:t>
            </w:r>
          </w:p>
          <w:p>
            <w:pPr>
              <w:spacing w:line="240" w:lineRule="exact"/>
              <w:jc w:val="both"/>
              <w:rPr>
                <w:rFonts w:hint="eastAsia" w:ascii="宋体" w:hAnsi="宋体" w:eastAsia="宋体" w:cs="宋体"/>
                <w:kern w:val="2"/>
                <w:sz w:val="24"/>
                <w:szCs w:val="24"/>
                <w:lang w:val="en-US" w:eastAsia="zh-CN" w:bidi="ar-SA"/>
              </w:rPr>
            </w:pPr>
          </w:p>
        </w:tc>
        <w:tc>
          <w:tcPr>
            <w:tcW w:w="1609" w:type="dxa"/>
            <w:tcBorders>
              <w:top w:val="single" w:color="auto" w:sz="4" w:space="0"/>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napToGrid w:val="0"/>
              <w:spacing w:line="300" w:lineRule="exact"/>
              <w:rPr>
                <w:rFonts w:hint="eastAsia" w:ascii="Times New Roman" w:hAnsi="Times New Roman" w:eastAsia="方正仿宋_GBK" w:cs="方正仿宋_GBK"/>
                <w:color w:val="000000"/>
                <w:kern w:val="2"/>
                <w:sz w:val="24"/>
                <w:szCs w:val="24"/>
                <w:lang w:val="en-US" w:eastAsia="zh-CN" w:bidi="ar-SA"/>
              </w:rPr>
            </w:pPr>
            <w:r>
              <w:rPr>
                <w:rFonts w:hint="eastAsia" w:eastAsia="方正仿宋_GBK" w:cs="方正仿宋_GBK"/>
                <w:color w:val="000000"/>
                <w:sz w:val="24"/>
              </w:rPr>
              <w:t xml:space="preserve">□其他                                                                                                                                                                                                    </w:t>
            </w:r>
          </w:p>
        </w:tc>
        <w:tc>
          <w:tcPr>
            <w:tcW w:w="5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cantSplit/>
          <w:trHeight w:val="4704"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hAnsi="宋体" w:eastAsia="宋体" w:cs="宋体"/>
                <w:sz w:val="24"/>
                <w:szCs w:val="24"/>
              </w:rPr>
            </w:pPr>
            <w:r>
              <w:rPr>
                <w:rFonts w:hint="eastAsia" w:ascii="宋体" w:hAnsi="宋体" w:eastAsia="宋体" w:cs="宋体"/>
                <w:sz w:val="24"/>
                <w:szCs w:val="24"/>
              </w:rPr>
              <w:t>新型职业农民培育</w:t>
            </w:r>
          </w:p>
        </w:tc>
        <w:tc>
          <w:tcPr>
            <w:tcW w:w="234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政策依据；</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申请指南：包括补贴对象、补贴范围、补贴标准、申请程序、申请材料、咨询电话、受理单位、办理时限、联系方式等；</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补贴结果；</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监督渠道：包括举报电话、地址等。</w:t>
            </w:r>
          </w:p>
        </w:tc>
        <w:tc>
          <w:tcPr>
            <w:tcW w:w="1792" w:type="dxa"/>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区农业农村局</w:t>
            </w:r>
          </w:p>
        </w:tc>
        <w:tc>
          <w:tcPr>
            <w:tcW w:w="2348"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关于引导农村土地经营权有序流转发展农业适度规模经营的意见》（中办发〔2014〕61号）、《关于支持返乡下乡人员创业创新促进农村一二三产业融合发展的意见》（国办发〔2016〕84号）、《农业生产发展资金管理办法》（财农〔2017〕41号）、《“十三五”全国新型职业农民培育发展规划》（农科教发〔2017〕2号）</w:t>
            </w:r>
          </w:p>
        </w:tc>
        <w:tc>
          <w:tcPr>
            <w:tcW w:w="126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cs="宋体"/>
                <w:sz w:val="24"/>
                <w:szCs w:val="24"/>
                <w:lang w:eastAsia="zh-CN"/>
              </w:rPr>
              <w:t>制定或获取信息</w:t>
            </w:r>
            <w:r>
              <w:rPr>
                <w:rFonts w:hint="eastAsia" w:ascii="宋体" w:hAnsi="宋体" w:eastAsia="宋体" w:cs="宋体"/>
                <w:sz w:val="24"/>
                <w:szCs w:val="24"/>
              </w:rPr>
              <w:t>之日起</w:t>
            </w:r>
            <w:r>
              <w:rPr>
                <w:rFonts w:hint="eastAsia" w:ascii="宋体" w:hAnsi="宋体" w:cs="宋体"/>
                <w:sz w:val="24"/>
                <w:szCs w:val="24"/>
                <w:lang w:val="en-US" w:eastAsia="zh-CN"/>
              </w:rPr>
              <w:t>10</w:t>
            </w:r>
            <w:r>
              <w:rPr>
                <w:rFonts w:hint="eastAsia" w:ascii="宋体" w:hAnsi="宋体" w:eastAsia="宋体" w:cs="宋体"/>
                <w:sz w:val="24"/>
                <w:szCs w:val="24"/>
              </w:rPr>
              <w:t>个工作日内。</w:t>
            </w:r>
          </w:p>
          <w:p>
            <w:pPr>
              <w:spacing w:line="240" w:lineRule="exact"/>
              <w:jc w:val="both"/>
              <w:rPr>
                <w:rFonts w:hint="eastAsia" w:ascii="宋体" w:hAnsi="宋体" w:eastAsia="宋体" w:cs="宋体"/>
                <w:sz w:val="24"/>
                <w:szCs w:val="24"/>
              </w:rPr>
            </w:pPr>
          </w:p>
        </w:tc>
        <w:tc>
          <w:tcPr>
            <w:tcW w:w="1609" w:type="dxa"/>
            <w:tcBorders>
              <w:top w:val="single" w:color="auto" w:sz="4" w:space="0"/>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napToGrid w:val="0"/>
              <w:spacing w:line="300" w:lineRule="exact"/>
              <w:rPr>
                <w:rFonts w:hint="eastAsia" w:ascii="Times New Roman" w:hAnsi="Times New Roman" w:eastAsia="方正仿宋_GBK" w:cs="方正仿宋_GBK"/>
                <w:color w:val="000000"/>
                <w:kern w:val="2"/>
                <w:sz w:val="24"/>
                <w:szCs w:val="24"/>
                <w:lang w:val="en-US" w:eastAsia="zh-CN" w:bidi="ar-SA"/>
              </w:rPr>
            </w:pPr>
            <w:r>
              <w:rPr>
                <w:rFonts w:hint="eastAsia" w:eastAsia="方正仿宋_GBK" w:cs="方正仿宋_GBK"/>
                <w:color w:val="000000"/>
                <w:sz w:val="24"/>
              </w:rPr>
              <w:t xml:space="preserve">□其他                                                                                                                                                                                                    </w:t>
            </w:r>
          </w:p>
        </w:tc>
        <w:tc>
          <w:tcPr>
            <w:tcW w:w="5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cantSplit/>
          <w:trHeight w:val="3264" w:hRule="atLeast"/>
          <w:jc w:val="center"/>
        </w:trPr>
        <w:tc>
          <w:tcPr>
            <w:tcW w:w="5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农业生产发展资金</w:t>
            </w:r>
          </w:p>
        </w:tc>
        <w:tc>
          <w:tcPr>
            <w:tcW w:w="900" w:type="dxa"/>
            <w:tcBorders>
              <w:top w:val="single" w:color="auto" w:sz="4" w:space="0"/>
              <w:left w:val="nil"/>
              <w:bottom w:val="single" w:color="auto" w:sz="4" w:space="0"/>
              <w:right w:val="single" w:color="auto" w:sz="4" w:space="0"/>
            </w:tcBorders>
            <w:vAlign w:val="center"/>
          </w:tcPr>
          <w:p>
            <w:pPr>
              <w:spacing w:line="240" w:lineRule="exact"/>
              <w:jc w:val="left"/>
              <w:rPr>
                <w:rFonts w:hint="eastAsia" w:ascii="宋体" w:hAnsi="宋体" w:eastAsia="宋体" w:cs="宋体"/>
                <w:sz w:val="24"/>
                <w:szCs w:val="24"/>
              </w:rPr>
            </w:pPr>
            <w:r>
              <w:rPr>
                <w:rFonts w:hint="eastAsia" w:ascii="宋体" w:hAnsi="宋体" w:eastAsia="宋体" w:cs="宋体"/>
                <w:sz w:val="24"/>
                <w:szCs w:val="24"/>
              </w:rPr>
              <w:t>支持新型农业经营主体</w:t>
            </w:r>
          </w:p>
        </w:tc>
        <w:tc>
          <w:tcPr>
            <w:tcW w:w="234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政策依据；</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申请指南：包括补贴对象、补贴范围、补贴标准、申请程序、申请材料、咨询电话、受理单位、办理时限、联系方式等；</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补贴结果；</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监督渠道：包括举报电话、地址等。</w:t>
            </w:r>
          </w:p>
        </w:tc>
        <w:tc>
          <w:tcPr>
            <w:tcW w:w="1792" w:type="dxa"/>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区农业农村局</w:t>
            </w:r>
          </w:p>
        </w:tc>
        <w:tc>
          <w:tcPr>
            <w:tcW w:w="2348"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《农业生产发展资金管理办法》（财农〔2017〕41号）</w:t>
            </w:r>
          </w:p>
        </w:tc>
        <w:tc>
          <w:tcPr>
            <w:tcW w:w="126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cs="宋体"/>
                <w:sz w:val="24"/>
                <w:szCs w:val="24"/>
                <w:lang w:eastAsia="zh-CN"/>
              </w:rPr>
              <w:t>制定或获取信息</w:t>
            </w:r>
            <w:r>
              <w:rPr>
                <w:rFonts w:hint="eastAsia" w:ascii="宋体" w:hAnsi="宋体" w:eastAsia="宋体" w:cs="宋体"/>
                <w:sz w:val="24"/>
                <w:szCs w:val="24"/>
              </w:rPr>
              <w:t>之日起</w:t>
            </w:r>
            <w:r>
              <w:rPr>
                <w:rFonts w:hint="eastAsia" w:ascii="宋体" w:hAnsi="宋体" w:cs="宋体"/>
                <w:sz w:val="24"/>
                <w:szCs w:val="24"/>
                <w:lang w:val="en-US" w:eastAsia="zh-CN"/>
              </w:rPr>
              <w:t>10</w:t>
            </w:r>
            <w:r>
              <w:rPr>
                <w:rFonts w:hint="eastAsia" w:ascii="宋体" w:hAnsi="宋体" w:eastAsia="宋体" w:cs="宋体"/>
                <w:sz w:val="24"/>
                <w:szCs w:val="24"/>
              </w:rPr>
              <w:t>个工作日内。</w:t>
            </w:r>
          </w:p>
          <w:p>
            <w:pPr>
              <w:spacing w:line="240" w:lineRule="exact"/>
              <w:jc w:val="both"/>
              <w:rPr>
                <w:rFonts w:hint="eastAsia" w:ascii="宋体" w:hAnsi="宋体" w:eastAsia="宋体" w:cs="宋体"/>
                <w:sz w:val="24"/>
                <w:szCs w:val="24"/>
              </w:rPr>
            </w:pPr>
          </w:p>
        </w:tc>
        <w:tc>
          <w:tcPr>
            <w:tcW w:w="1609" w:type="dxa"/>
            <w:tcBorders>
              <w:top w:val="single" w:color="auto" w:sz="4" w:space="0"/>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napToGrid w:val="0"/>
              <w:spacing w:line="300" w:lineRule="exact"/>
              <w:rPr>
                <w:rFonts w:hint="eastAsia" w:ascii="Times New Roman" w:hAnsi="Times New Roman" w:eastAsia="方正仿宋_GBK" w:cs="方正仿宋_GBK"/>
                <w:color w:val="000000"/>
                <w:kern w:val="2"/>
                <w:sz w:val="24"/>
                <w:szCs w:val="24"/>
                <w:lang w:val="en-US" w:eastAsia="zh-CN" w:bidi="ar-SA"/>
              </w:rPr>
            </w:pPr>
            <w:r>
              <w:rPr>
                <w:rFonts w:hint="eastAsia" w:eastAsia="方正仿宋_GBK" w:cs="方正仿宋_GBK"/>
                <w:color w:val="000000"/>
                <w:sz w:val="24"/>
              </w:rPr>
              <w:t xml:space="preserve">□其他                                                                                                                                                                                                    </w:t>
            </w:r>
          </w:p>
        </w:tc>
        <w:tc>
          <w:tcPr>
            <w:tcW w:w="5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r>
        <w:tblPrEx>
          <w:tblLayout w:type="fixed"/>
          <w:tblCellMar>
            <w:top w:w="0" w:type="dxa"/>
            <w:left w:w="108" w:type="dxa"/>
            <w:bottom w:w="0" w:type="dxa"/>
            <w:right w:w="108" w:type="dxa"/>
          </w:tblCellMar>
        </w:tblPrEx>
        <w:trPr>
          <w:cantSplit/>
          <w:trHeight w:val="4529" w:hRule="atLeast"/>
          <w:jc w:val="center"/>
        </w:trPr>
        <w:tc>
          <w:tcPr>
            <w:tcW w:w="540" w:type="dxa"/>
            <w:tcBorders>
              <w:top w:val="single" w:color="auto" w:sz="4" w:space="0"/>
              <w:left w:val="single" w:color="auto" w:sz="4" w:space="0"/>
              <w:bottom w:val="single" w:color="000000" w:sz="4" w:space="0"/>
              <w:right w:val="single" w:color="auto" w:sz="4" w:space="0"/>
            </w:tcBorders>
            <w:vAlign w:val="center"/>
          </w:tcPr>
          <w:p>
            <w:pPr>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p>
        </w:tc>
        <w:tc>
          <w:tcPr>
            <w:tcW w:w="720"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动物防疫等补助经费</w:t>
            </w:r>
          </w:p>
        </w:tc>
        <w:tc>
          <w:tcPr>
            <w:tcW w:w="900" w:type="dxa"/>
            <w:tcBorders>
              <w:top w:val="single" w:color="auto" w:sz="4" w:space="0"/>
              <w:left w:val="nil"/>
              <w:bottom w:val="single" w:color="auto" w:sz="4" w:space="0"/>
              <w:right w:val="single" w:color="auto" w:sz="4" w:space="0"/>
            </w:tcBorders>
            <w:vAlign w:val="center"/>
          </w:tcPr>
          <w:p>
            <w:pPr>
              <w:spacing w:line="240" w:lineRule="exact"/>
              <w:jc w:val="center"/>
              <w:rPr>
                <w:rFonts w:hint="eastAsia" w:ascii="宋体" w:hAnsi="宋体" w:eastAsia="宋体" w:cs="宋体"/>
                <w:sz w:val="24"/>
                <w:szCs w:val="24"/>
              </w:rPr>
            </w:pPr>
            <w:r>
              <w:rPr>
                <w:rFonts w:hint="eastAsia" w:ascii="宋体" w:hAnsi="宋体" w:eastAsia="宋体" w:cs="宋体"/>
                <w:sz w:val="24"/>
                <w:szCs w:val="24"/>
              </w:rPr>
              <w:t>强制扑杀、强制免疫和养殖环节无害化处理补助</w:t>
            </w:r>
          </w:p>
        </w:tc>
        <w:tc>
          <w:tcPr>
            <w:tcW w:w="234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政策依据；</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申请指南：包括补贴对象、补贴范围、补贴标准、申请程序、申请材料、咨询电话、受理单位、办理时限、联系方式等；</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补贴结果；</w:t>
            </w:r>
          </w:p>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监督渠道：包括举报电话、地址等。</w:t>
            </w:r>
          </w:p>
        </w:tc>
        <w:tc>
          <w:tcPr>
            <w:tcW w:w="1792" w:type="dxa"/>
            <w:tcBorders>
              <w:top w:val="single" w:color="auto" w:sz="4" w:space="0"/>
              <w:left w:val="nil"/>
              <w:bottom w:val="single" w:color="auto" w:sz="4" w:space="0"/>
              <w:right w:val="single" w:color="auto" w:sz="4" w:space="0"/>
            </w:tcBorders>
            <w:vAlign w:val="center"/>
          </w:tcPr>
          <w:p>
            <w:pPr>
              <w:jc w:val="both"/>
              <w:rPr>
                <w:rFonts w:hint="eastAsia" w:ascii="宋体" w:hAnsi="宋体" w:eastAsia="宋体" w:cs="宋体"/>
                <w:sz w:val="24"/>
                <w:szCs w:val="24"/>
                <w:lang w:eastAsia="zh-CN"/>
              </w:rPr>
            </w:pPr>
            <w:r>
              <w:rPr>
                <w:rFonts w:hint="eastAsia" w:ascii="宋体" w:hAnsi="宋体" w:cs="宋体"/>
                <w:sz w:val="24"/>
                <w:szCs w:val="24"/>
                <w:lang w:eastAsia="zh-CN"/>
              </w:rPr>
              <w:t>区农业农村局</w:t>
            </w:r>
          </w:p>
        </w:tc>
        <w:tc>
          <w:tcPr>
            <w:tcW w:w="2348"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r>
              <w:rPr>
                <w:rFonts w:hint="eastAsia" w:ascii="宋体" w:hAnsi="宋体" w:eastAsia="宋体" w:cs="宋体"/>
                <w:sz w:val="24"/>
                <w:szCs w:val="24"/>
              </w:rPr>
              <w:t>《动物防疫法》、《动物防疫等补助经费管理办法》（财农〔2017〕43号）</w:t>
            </w:r>
          </w:p>
        </w:tc>
        <w:tc>
          <w:tcPr>
            <w:tcW w:w="1260" w:type="dxa"/>
            <w:tcBorders>
              <w:top w:val="single" w:color="auto" w:sz="4" w:space="0"/>
              <w:left w:val="nil"/>
              <w:bottom w:val="single" w:color="auto" w:sz="4" w:space="0"/>
              <w:right w:val="single" w:color="auto" w:sz="4" w:space="0"/>
            </w:tcBorders>
            <w:vAlign w:val="center"/>
          </w:tcPr>
          <w:p>
            <w:pPr>
              <w:spacing w:line="240" w:lineRule="exact"/>
              <w:jc w:val="both"/>
              <w:rPr>
                <w:rFonts w:hint="eastAsia" w:ascii="宋体" w:hAnsi="宋体" w:eastAsia="宋体" w:cs="宋体"/>
                <w:sz w:val="24"/>
                <w:szCs w:val="24"/>
              </w:rPr>
            </w:pPr>
          </w:p>
          <w:p>
            <w:pPr>
              <w:spacing w:line="240" w:lineRule="exact"/>
              <w:jc w:val="both"/>
              <w:rPr>
                <w:rFonts w:hint="eastAsia" w:ascii="宋体" w:hAnsi="宋体" w:eastAsia="宋体" w:cs="宋体"/>
                <w:sz w:val="24"/>
                <w:szCs w:val="24"/>
              </w:rPr>
            </w:pPr>
            <w:r>
              <w:rPr>
                <w:rFonts w:hint="eastAsia" w:ascii="宋体" w:hAnsi="宋体" w:cs="宋体"/>
                <w:sz w:val="24"/>
                <w:szCs w:val="24"/>
                <w:lang w:eastAsia="zh-CN"/>
              </w:rPr>
              <w:t>制定或获取信息</w:t>
            </w:r>
            <w:r>
              <w:rPr>
                <w:rFonts w:hint="eastAsia" w:ascii="宋体" w:hAnsi="宋体" w:eastAsia="宋体" w:cs="宋体"/>
                <w:sz w:val="24"/>
                <w:szCs w:val="24"/>
              </w:rPr>
              <w:t>之日起</w:t>
            </w:r>
            <w:r>
              <w:rPr>
                <w:rFonts w:hint="eastAsia" w:ascii="宋体" w:hAnsi="宋体" w:cs="宋体"/>
                <w:sz w:val="24"/>
                <w:szCs w:val="24"/>
                <w:lang w:val="en-US" w:eastAsia="zh-CN"/>
              </w:rPr>
              <w:t>10</w:t>
            </w:r>
            <w:r>
              <w:rPr>
                <w:rFonts w:hint="eastAsia" w:ascii="宋体" w:hAnsi="宋体" w:eastAsia="宋体" w:cs="宋体"/>
                <w:sz w:val="24"/>
                <w:szCs w:val="24"/>
              </w:rPr>
              <w:t>个工作日内。</w:t>
            </w:r>
          </w:p>
          <w:p>
            <w:pPr>
              <w:spacing w:line="240" w:lineRule="exact"/>
              <w:jc w:val="both"/>
              <w:rPr>
                <w:rFonts w:hint="eastAsia" w:ascii="宋体" w:hAnsi="宋体" w:eastAsia="宋体" w:cs="宋体"/>
                <w:sz w:val="24"/>
                <w:szCs w:val="24"/>
              </w:rPr>
            </w:pPr>
          </w:p>
        </w:tc>
        <w:tc>
          <w:tcPr>
            <w:tcW w:w="1609" w:type="dxa"/>
            <w:tcBorders>
              <w:top w:val="single" w:color="auto" w:sz="4" w:space="0"/>
              <w:left w:val="nil"/>
              <w:bottom w:val="single" w:color="auto" w:sz="4" w:space="0"/>
              <w:right w:val="single" w:color="auto" w:sz="4" w:space="0"/>
            </w:tcBorders>
            <w:vAlign w:val="center"/>
          </w:tcPr>
          <w:p>
            <w:pPr>
              <w:snapToGrid w:val="0"/>
              <w:spacing w:line="300" w:lineRule="exact"/>
              <w:rPr>
                <w:rFonts w:hint="eastAsia" w:eastAsia="方正仿宋_GBK" w:cs="方正仿宋_GBK"/>
                <w:color w:val="000000"/>
                <w:sz w:val="24"/>
              </w:rPr>
            </w:pP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 xml:space="preserve">政府网站                                                                                                                                                                                                       </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公开查阅点</w:t>
            </w:r>
            <w:r>
              <w:rPr>
                <w:rFonts w:hint="eastAsia" w:eastAsia="方正仿宋_GBK" w:cs="方正仿宋_GBK"/>
                <w:color w:val="000000"/>
                <w:sz w:val="24"/>
              </w:rPr>
              <w:br w:type="textWrapping"/>
            </w:r>
            <w:r>
              <w:rPr>
                <w:rFonts w:hint="eastAsia" w:eastAsia="方正仿宋_GBK" w:cs="方正仿宋_GBK"/>
                <w:color w:val="000000"/>
                <w:sz w:val="16"/>
                <w:szCs w:val="16"/>
              </w:rPr>
              <w:fldChar w:fldCharType="begin"/>
            </w:r>
            <w:r>
              <w:rPr>
                <w:rFonts w:hint="eastAsia" w:eastAsia="方正仿宋_GBK" w:cs="方正仿宋_GBK"/>
                <w:color w:val="000000"/>
                <w:sz w:val="16"/>
                <w:szCs w:val="16"/>
              </w:rPr>
              <w:instrText xml:space="preserve"> EQ \o\ac(</w:instrText>
            </w:r>
            <w:r>
              <w:rPr>
                <w:rFonts w:hint="eastAsia" w:eastAsia="方正仿宋_GBK" w:cs="方正仿宋_GBK"/>
                <w:color w:val="000000"/>
                <w:position w:val="-3"/>
                <w:sz w:val="24"/>
                <w:szCs w:val="16"/>
              </w:rPr>
              <w:instrText xml:space="preserve">□</w:instrText>
            </w:r>
            <w:r>
              <w:rPr>
                <w:rFonts w:hint="eastAsia" w:eastAsia="方正仿宋_GBK" w:cs="方正仿宋_GBK"/>
                <w:color w:val="000000"/>
                <w:sz w:val="16"/>
                <w:szCs w:val="16"/>
              </w:rPr>
              <w:instrText xml:space="preserve">)</w:instrText>
            </w:r>
            <w:r>
              <w:rPr>
                <w:rFonts w:hint="eastAsia" w:eastAsia="方正仿宋_GBK" w:cs="方正仿宋_GBK"/>
                <w:color w:val="000000"/>
                <w:sz w:val="16"/>
                <w:szCs w:val="16"/>
              </w:rPr>
              <w:fldChar w:fldCharType="end"/>
            </w:r>
            <w:r>
              <w:rPr>
                <w:rFonts w:hint="eastAsia" w:eastAsia="方正仿宋_GBK" w:cs="方正仿宋_GBK"/>
                <w:color w:val="000000"/>
                <w:sz w:val="24"/>
              </w:rPr>
              <w:t>政务服务中心</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□公示栏</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□发布会</w:t>
            </w:r>
          </w:p>
          <w:p>
            <w:pPr>
              <w:snapToGrid w:val="0"/>
              <w:spacing w:line="300" w:lineRule="exact"/>
              <w:rPr>
                <w:rFonts w:hint="eastAsia" w:eastAsia="方正仿宋_GBK" w:cs="方正仿宋_GBK"/>
                <w:color w:val="000000"/>
                <w:sz w:val="24"/>
              </w:rPr>
            </w:pPr>
            <w:r>
              <w:rPr>
                <w:rFonts w:hint="eastAsia" w:eastAsia="方正仿宋_GBK" w:cs="方正仿宋_GBK"/>
                <w:color w:val="000000"/>
                <w:sz w:val="24"/>
              </w:rPr>
              <w:t>□两微一端</w:t>
            </w:r>
          </w:p>
          <w:p>
            <w:pPr>
              <w:snapToGrid w:val="0"/>
              <w:spacing w:line="300" w:lineRule="exact"/>
              <w:rPr>
                <w:rFonts w:hint="eastAsia" w:ascii="Times New Roman" w:hAnsi="Times New Roman" w:eastAsia="方正仿宋_GBK" w:cs="方正仿宋_GBK"/>
                <w:color w:val="000000"/>
                <w:kern w:val="2"/>
                <w:sz w:val="24"/>
                <w:szCs w:val="24"/>
                <w:lang w:val="en-US" w:eastAsia="zh-CN" w:bidi="ar-SA"/>
              </w:rPr>
            </w:pPr>
            <w:r>
              <w:rPr>
                <w:rFonts w:hint="eastAsia" w:eastAsia="方正仿宋_GBK" w:cs="方正仿宋_GBK"/>
                <w:color w:val="000000"/>
                <w:sz w:val="24"/>
              </w:rPr>
              <w:t xml:space="preserve">□其他                                                                                                                                                                                                    </w:t>
            </w:r>
          </w:p>
        </w:tc>
        <w:tc>
          <w:tcPr>
            <w:tcW w:w="551"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gridSpan w:val="2"/>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c>
          <w:tcPr>
            <w:tcW w:w="72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w:t>
            </w:r>
          </w:p>
        </w:tc>
        <w:tc>
          <w:tcPr>
            <w:tcW w:w="540" w:type="dxa"/>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color w:val="000000"/>
                <w:sz w:val="24"/>
                <w:szCs w:val="24"/>
              </w:rPr>
            </w:pPr>
            <w:r>
              <w:rPr>
                <w:rFonts w:hint="eastAsia" w:ascii="宋体" w:hAnsi="宋体" w:eastAsia="宋体" w:cs="宋体"/>
                <w:color w:val="000000"/>
                <w:sz w:val="24"/>
                <w:szCs w:val="24"/>
              </w:rPr>
              <w:t>　</w:t>
            </w:r>
          </w:p>
        </w:tc>
      </w:tr>
    </w:tbl>
    <w:p>
      <w:pPr>
        <w:rPr>
          <w:rFonts w:hint="eastAsia" w:ascii="宋体" w:hAnsi="宋体" w:eastAsia="宋体" w:cs="宋体"/>
          <w:sz w:val="24"/>
          <w:szCs w:val="24"/>
        </w:rPr>
      </w:pPr>
    </w:p>
    <w:bookmarkEnd w:id="1"/>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CB3193"/>
    <w:rsid w:val="07137CE1"/>
    <w:rsid w:val="13DC6EAA"/>
    <w:rsid w:val="22964F05"/>
    <w:rsid w:val="312E460B"/>
    <w:rsid w:val="32C02F3F"/>
    <w:rsid w:val="37CB3193"/>
    <w:rsid w:val="52A11AD3"/>
    <w:rsid w:val="5551452B"/>
    <w:rsid w:val="57685796"/>
    <w:rsid w:val="67A64876"/>
    <w:rsid w:val="76F070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2020-09-16T07:14:00Z</dcterms:created>
  <dc:creator>柠檬蜜</dc:creator>
  <cp:lastModifiedBy>NTKO</cp:lastModifiedBy>
  <dcterms:modified xsi:type="dcterms:W3CDTF">2020-10-16T04:27:31Z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ies>
</file>