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right="-218" w:rightChars="-104"/>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lang w:eastAsia="zh-CN"/>
        </w:rPr>
        <w:t>七星区</w:t>
      </w:r>
      <w:r>
        <w:rPr>
          <w:rFonts w:hint="eastAsia" w:ascii="方正小标宋简体" w:eastAsia="方正小标宋简体"/>
          <w:sz w:val="44"/>
          <w:szCs w:val="44"/>
          <w:highlight w:val="none"/>
          <w:lang w:val="en-US" w:eastAsia="zh-CN"/>
        </w:rPr>
        <w:t>住房和城乡建设局</w:t>
      </w:r>
      <w:r>
        <w:rPr>
          <w:rFonts w:hint="eastAsia" w:ascii="方正小标宋简体" w:eastAsia="方正小标宋简体"/>
          <w:sz w:val="44"/>
          <w:szCs w:val="44"/>
          <w:highlight w:val="none"/>
        </w:rPr>
        <w:t>202</w:t>
      </w:r>
      <w:r>
        <w:rPr>
          <w:rFonts w:hint="eastAsia" w:ascii="方正小标宋简体" w:eastAsia="方正小标宋简体"/>
          <w:sz w:val="44"/>
          <w:szCs w:val="44"/>
          <w:highlight w:val="none"/>
          <w:lang w:val="en-US" w:eastAsia="zh-CN"/>
        </w:rPr>
        <w:t>6</w:t>
      </w:r>
      <w:r>
        <w:rPr>
          <w:rFonts w:hint="eastAsia" w:ascii="方正小标宋简体" w:eastAsia="方正小标宋简体"/>
          <w:sz w:val="44"/>
          <w:szCs w:val="44"/>
          <w:highlight w:val="none"/>
        </w:rPr>
        <w:t>年</w:t>
      </w:r>
    </w:p>
    <w:p>
      <w:pPr>
        <w:adjustRightInd w:val="0"/>
        <w:snapToGrid w:val="0"/>
        <w:spacing w:line="560" w:lineRule="exact"/>
        <w:ind w:right="-218" w:rightChars="-104"/>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部门预算</w:t>
      </w:r>
      <w:r>
        <w:rPr>
          <w:rFonts w:hint="eastAsia" w:ascii="方正小标宋简体" w:eastAsia="方正小标宋简体"/>
          <w:sz w:val="44"/>
          <w:szCs w:val="44"/>
          <w:highlight w:val="none"/>
          <w:lang w:eastAsia="zh-CN"/>
        </w:rPr>
        <w:t>及“三公经费”预算公开</w:t>
      </w:r>
      <w:r>
        <w:rPr>
          <w:rFonts w:hint="eastAsia" w:ascii="方正小标宋简体" w:eastAsia="方正小标宋简体"/>
          <w:sz w:val="44"/>
          <w:szCs w:val="44"/>
          <w:highlight w:val="none"/>
        </w:rPr>
        <w:t>说明</w:t>
      </w:r>
    </w:p>
    <w:p>
      <w:pPr>
        <w:adjustRightInd w:val="0"/>
        <w:snapToGrid w:val="0"/>
        <w:spacing w:line="560" w:lineRule="exact"/>
        <w:ind w:right="-218" w:rightChars="-104"/>
        <w:jc w:val="center"/>
        <w:rPr>
          <w:rFonts w:hint="eastAsia" w:ascii="方正小标宋简体" w:eastAsia="方正小标宋简体"/>
          <w:sz w:val="44"/>
          <w:szCs w:val="44"/>
          <w:highlight w:val="none"/>
        </w:rPr>
      </w:pPr>
    </w:p>
    <w:p>
      <w:pPr>
        <w:keepNext w:val="0"/>
        <w:keepLines w:val="0"/>
        <w:pageBreakBefore w:val="0"/>
        <w:widowControl w:val="0"/>
        <w:kinsoku/>
        <w:wordWrap/>
        <w:overflowPunct/>
        <w:topLinePunct w:val="0"/>
        <w:autoSpaceDE w:val="0"/>
        <w:autoSpaceDN w:val="0"/>
        <w:bidi w:val="0"/>
        <w:adjustRightInd w:val="0"/>
        <w:snapToGrid w:val="0"/>
        <w:spacing w:line="580" w:lineRule="exact"/>
        <w:textAlignment w:val="auto"/>
        <w:rPr>
          <w:rFonts w:hint="eastAsia" w:ascii="黑体" w:hAnsi="黑体" w:eastAsia="黑体"/>
          <w:sz w:val="32"/>
          <w:szCs w:val="32"/>
          <w:highlight w:val="none"/>
          <w:lang w:val="en-US" w:eastAsia="zh-CN"/>
        </w:rPr>
      </w:pPr>
      <w:r>
        <w:rPr>
          <w:rFonts w:hint="eastAsia" w:ascii="黑体" w:hAnsi="黑体" w:eastAsia="黑体"/>
          <w:sz w:val="32"/>
          <w:szCs w:val="32"/>
          <w:highlight w:val="none"/>
          <w:lang w:val="en-US" w:eastAsia="zh-CN"/>
        </w:rPr>
        <w:t xml:space="preserve"> 一、部门概况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黑体" w:hAnsi="黑体" w:eastAsia="黑体"/>
          <w:sz w:val="32"/>
          <w:szCs w:val="32"/>
          <w:highlight w:val="none"/>
          <w:lang w:val="en-US" w:eastAsia="zh-CN"/>
        </w:rPr>
      </w:pPr>
      <w:r>
        <w:rPr>
          <w:rFonts w:hint="eastAsia" w:ascii="黑体" w:hAnsi="黑体" w:eastAsia="黑体"/>
          <w:sz w:val="32"/>
          <w:szCs w:val="32"/>
          <w:highlight w:val="none"/>
          <w:lang w:val="en-US" w:eastAsia="zh-CN"/>
        </w:rPr>
        <w:t>（一）部门主要职责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根据《中共桂林市七星区委员会办公室 桂林市七星区人民政府办公室关于印发&lt;桂林市七星区人民政府住房和城乡建设局职能配置和人员编制规定&gt;的通知》（星办发〔2019〕26号），七星区住房和城乡建设局主要工作职责有：</w:t>
      </w:r>
    </w:p>
    <w:p>
      <w:pPr>
        <w:autoSpaceDE w:val="0"/>
        <w:autoSpaceDN w:val="0"/>
        <w:adjustRightInd w:val="0"/>
        <w:ind w:firstLine="640" w:firstLineChars="200"/>
        <w:jc w:val="left"/>
        <w:rPr>
          <w:rFonts w:hint="eastAsia" w:ascii="仿宋_GB2312" w:hAnsi="Times New Roman" w:eastAsia="仿宋_GB2312" w:cs="仿宋_GB2312"/>
          <w:color w:val="auto"/>
          <w:kern w:val="0"/>
          <w:sz w:val="32"/>
          <w:szCs w:val="32"/>
        </w:rPr>
      </w:pPr>
      <w:r>
        <w:rPr>
          <w:rFonts w:hint="eastAsia" w:ascii="仿宋_GB2312" w:hAnsi="Times New Roman" w:eastAsia="仿宋_GB2312" w:cs="仿宋_GB2312"/>
          <w:color w:val="auto"/>
          <w:kern w:val="0"/>
          <w:sz w:val="32"/>
          <w:szCs w:val="32"/>
        </w:rPr>
        <w:t>（一）部门主要职责</w:t>
      </w:r>
    </w:p>
    <w:p>
      <w:pPr>
        <w:autoSpaceDE w:val="0"/>
        <w:autoSpaceDN w:val="0"/>
        <w:adjustRightInd w:val="0"/>
        <w:ind w:firstLine="640" w:firstLineChars="200"/>
        <w:jc w:val="left"/>
        <w:rPr>
          <w:rFonts w:hint="eastAsia" w:ascii="仿宋_GB2312" w:hAnsi="Times New Roman" w:eastAsia="仿宋_GB2312" w:cs="仿宋_GB2312"/>
          <w:color w:val="auto"/>
          <w:kern w:val="0"/>
          <w:sz w:val="32"/>
          <w:szCs w:val="32"/>
        </w:rPr>
      </w:pPr>
      <w:r>
        <w:rPr>
          <w:rFonts w:hint="eastAsia" w:ascii="仿宋_GB2312" w:hAnsi="Times New Roman" w:eastAsia="仿宋_GB2312" w:cs="仿宋_GB2312"/>
          <w:color w:val="auto"/>
          <w:kern w:val="0"/>
          <w:sz w:val="32"/>
          <w:szCs w:val="32"/>
        </w:rPr>
        <w:t>根据《中共桂林市七星区委员会办公室 桂林市七星区人民政府办公室关于印发&lt;桂林市七星区人民政府住房和城乡建设局职能配置和人员编制规定&gt;的通知》（星办发〔2019〕26号），七星区住房和城乡建设局主要工作职责有：</w:t>
      </w:r>
    </w:p>
    <w:p>
      <w:pPr>
        <w:autoSpaceDE w:val="0"/>
        <w:autoSpaceDN w:val="0"/>
        <w:adjustRightInd w:val="0"/>
        <w:ind w:firstLine="640" w:firstLineChars="200"/>
        <w:jc w:val="left"/>
        <w:rPr>
          <w:rFonts w:hint="eastAsia" w:ascii="仿宋_GB2312" w:hAnsi="Times New Roman" w:eastAsia="仿宋_GB2312" w:cs="仿宋_GB2312"/>
          <w:color w:val="auto"/>
          <w:kern w:val="0"/>
          <w:sz w:val="32"/>
          <w:szCs w:val="32"/>
        </w:rPr>
      </w:pPr>
      <w:r>
        <w:rPr>
          <w:rFonts w:hint="eastAsia" w:ascii="仿宋_GB2312" w:hAnsi="Times New Roman" w:eastAsia="仿宋_GB2312" w:cs="仿宋_GB2312"/>
          <w:color w:val="auto"/>
          <w:kern w:val="0"/>
          <w:sz w:val="32"/>
          <w:szCs w:val="32"/>
        </w:rPr>
        <w:t>1.贯彻执行国家有关住房和城乡建设工作的方针、政策和法律法规，协调市相关部门做好建设管理工作，向政府提出住房和城乡建设重大问题的相关政策建议。</w:t>
      </w:r>
    </w:p>
    <w:p>
      <w:pPr>
        <w:autoSpaceDE w:val="0"/>
        <w:autoSpaceDN w:val="0"/>
        <w:adjustRightInd w:val="0"/>
        <w:ind w:firstLine="640" w:firstLineChars="200"/>
        <w:jc w:val="left"/>
        <w:rPr>
          <w:rFonts w:hint="eastAsia" w:ascii="仿宋_GB2312" w:hAnsi="Times New Roman" w:eastAsia="仿宋_GB2312" w:cs="仿宋_GB2312"/>
          <w:color w:val="auto"/>
          <w:kern w:val="0"/>
          <w:sz w:val="32"/>
          <w:szCs w:val="32"/>
        </w:rPr>
      </w:pPr>
      <w:r>
        <w:rPr>
          <w:rFonts w:hint="eastAsia" w:ascii="仿宋_GB2312" w:hAnsi="Times New Roman" w:eastAsia="仿宋_GB2312" w:cs="仿宋_GB2312"/>
          <w:color w:val="auto"/>
          <w:kern w:val="0"/>
          <w:sz w:val="32"/>
          <w:szCs w:val="32"/>
        </w:rPr>
        <w:t>2.负责辖区行业经济运行和“规上”企业培育工作。负责建筑业总产值和商品房销售面积行业指标的经济运行分析和协助指导，加强“规上”企业培育和协助指导入库入统工作，帮扶辖区在库房地产融资及建筑企业有序建设，经济实体稳中求进，推动辖区经济社会健康发展。</w:t>
      </w:r>
    </w:p>
    <w:p>
      <w:pPr>
        <w:autoSpaceDE w:val="0"/>
        <w:autoSpaceDN w:val="0"/>
        <w:adjustRightInd w:val="0"/>
        <w:ind w:firstLine="640" w:firstLineChars="200"/>
        <w:jc w:val="left"/>
        <w:rPr>
          <w:rFonts w:hint="eastAsia" w:ascii="仿宋_GB2312" w:hAnsi="Times New Roman" w:eastAsia="仿宋_GB2312" w:cs="仿宋_GB2312"/>
          <w:color w:val="auto"/>
          <w:kern w:val="0"/>
          <w:sz w:val="32"/>
          <w:szCs w:val="32"/>
        </w:rPr>
      </w:pPr>
      <w:r>
        <w:rPr>
          <w:rFonts w:hint="eastAsia" w:ascii="仿宋_GB2312" w:hAnsi="Times New Roman" w:eastAsia="仿宋_GB2312" w:cs="仿宋_GB2312"/>
          <w:color w:val="auto"/>
          <w:kern w:val="0"/>
          <w:sz w:val="32"/>
          <w:szCs w:val="32"/>
        </w:rPr>
        <w:t>3.负责辖区政府投资新建的基础设施建设工作。依据城市规划和市政府的部署，提出辖区市政建设建议，组织城市配套新建项目的建设，改善人民生活环境，提升城市形象。</w:t>
      </w:r>
    </w:p>
    <w:p>
      <w:pPr>
        <w:autoSpaceDE w:val="0"/>
        <w:autoSpaceDN w:val="0"/>
        <w:adjustRightInd w:val="0"/>
        <w:ind w:firstLine="640" w:firstLineChars="200"/>
        <w:jc w:val="left"/>
        <w:rPr>
          <w:rFonts w:hint="eastAsia" w:ascii="仿宋_GB2312" w:hAnsi="Times New Roman" w:eastAsia="仿宋_GB2312" w:cs="仿宋_GB2312"/>
          <w:color w:val="auto"/>
          <w:kern w:val="0"/>
          <w:sz w:val="32"/>
          <w:szCs w:val="32"/>
        </w:rPr>
      </w:pPr>
      <w:r>
        <w:rPr>
          <w:rFonts w:hint="eastAsia" w:ascii="仿宋_GB2312" w:hAnsi="Times New Roman" w:eastAsia="仿宋_GB2312" w:cs="仿宋_GB2312"/>
          <w:color w:val="auto"/>
          <w:kern w:val="0"/>
          <w:sz w:val="32"/>
          <w:szCs w:val="32"/>
        </w:rPr>
        <w:t>4.负责辖区保障性住房、城市危旧房改造、老旧小区改造、加装电梯建设等工作。依据城市规划和市政府的部署，负责组织辖区保障性住房、城市危旧房改造、老旧小区改造、加装电梯建设工作，依法保障人民的合法权益，改善群众居住条件。</w:t>
      </w:r>
    </w:p>
    <w:p>
      <w:pPr>
        <w:autoSpaceDE w:val="0"/>
        <w:autoSpaceDN w:val="0"/>
        <w:adjustRightInd w:val="0"/>
        <w:ind w:firstLine="640" w:firstLineChars="200"/>
        <w:jc w:val="left"/>
        <w:rPr>
          <w:rFonts w:hint="eastAsia" w:ascii="仿宋_GB2312" w:hAnsi="Times New Roman" w:eastAsia="仿宋_GB2312" w:cs="仿宋_GB2312"/>
          <w:color w:val="auto"/>
          <w:kern w:val="0"/>
          <w:sz w:val="32"/>
          <w:szCs w:val="32"/>
        </w:rPr>
      </w:pPr>
      <w:r>
        <w:rPr>
          <w:rFonts w:hint="eastAsia" w:ascii="仿宋_GB2312" w:hAnsi="Times New Roman" w:eastAsia="仿宋_GB2312" w:cs="仿宋_GB2312"/>
          <w:color w:val="auto"/>
          <w:kern w:val="0"/>
          <w:sz w:val="32"/>
          <w:szCs w:val="32"/>
        </w:rPr>
        <w:t>5.负责辖区已建成的保障性公共租赁住房、日常管理工作，把国家住房惠民政策落到实处。</w:t>
      </w:r>
    </w:p>
    <w:p>
      <w:pPr>
        <w:autoSpaceDE w:val="0"/>
        <w:autoSpaceDN w:val="0"/>
        <w:adjustRightInd w:val="0"/>
        <w:ind w:firstLine="640" w:firstLineChars="200"/>
        <w:jc w:val="left"/>
        <w:rPr>
          <w:rFonts w:hint="eastAsia" w:ascii="仿宋_GB2312" w:hAnsi="Times New Roman" w:eastAsia="仿宋_GB2312" w:cs="仿宋_GB2312"/>
          <w:color w:val="auto"/>
          <w:kern w:val="0"/>
          <w:sz w:val="32"/>
          <w:szCs w:val="32"/>
        </w:rPr>
      </w:pPr>
      <w:r>
        <w:rPr>
          <w:rFonts w:hint="eastAsia" w:ascii="仿宋_GB2312" w:hAnsi="Times New Roman" w:eastAsia="仿宋_GB2312" w:cs="仿宋_GB2312"/>
          <w:color w:val="auto"/>
          <w:kern w:val="0"/>
          <w:sz w:val="32"/>
          <w:szCs w:val="32"/>
        </w:rPr>
        <w:t>6.负责辖区内农房管控工作，对农房的房屋安全开展常态化排查整治，确保农房安全稳固无安全隐患。</w:t>
      </w:r>
    </w:p>
    <w:p>
      <w:pPr>
        <w:autoSpaceDE w:val="0"/>
        <w:autoSpaceDN w:val="0"/>
        <w:adjustRightInd w:val="0"/>
        <w:ind w:firstLine="640" w:firstLineChars="200"/>
        <w:jc w:val="left"/>
        <w:rPr>
          <w:rFonts w:hint="eastAsia" w:ascii="仿宋_GB2312" w:hAnsi="Times New Roman" w:eastAsia="仿宋_GB2312" w:cs="仿宋_GB2312"/>
          <w:color w:val="auto"/>
          <w:kern w:val="0"/>
          <w:sz w:val="32"/>
          <w:szCs w:val="32"/>
        </w:rPr>
      </w:pPr>
      <w:r>
        <w:rPr>
          <w:rFonts w:hint="eastAsia" w:ascii="仿宋_GB2312" w:hAnsi="Times New Roman" w:eastAsia="仿宋_GB2312" w:cs="仿宋_GB2312"/>
          <w:color w:val="auto"/>
          <w:kern w:val="0"/>
          <w:sz w:val="32"/>
          <w:szCs w:val="32"/>
        </w:rPr>
        <w:t>7.适应2021年1月1日实施的新《广西物业管理条例》，负责对物业服务人及其从业人员、业主大会筹备组成员、业主委员会委员进行业务指导、培训和监督管理；对物业服务企业实施分类监管，加强对物业服务质量监督检查；对物业承接查验、物业服务人员退出交接活动进行指导和监督；在法定时限内完成法规规定的物业服务合同备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桂林市七星区住房和城乡建设局是区人民政府的工作部门，为正科级。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七星区住建局本级内设业务办4个，分别为：局办、工程办、住房改革与保障办、村镇建设和物业管理办。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（三）编制现状及人员构成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6"/>
        <w:rPr>
          <w:color w:val="auto"/>
          <w:sz w:val="32"/>
          <w:szCs w:val="32"/>
        </w:rPr>
      </w:pPr>
      <w:r>
        <w:rPr>
          <w:rFonts w:hint="eastAsia" w:ascii="仿宋_GB2312" w:hAnsi="Times New Roman" w:eastAsia="仿宋_GB2312" w:cs="仿宋_GB2312"/>
          <w:color w:val="auto"/>
          <w:kern w:val="0"/>
          <w:sz w:val="32"/>
          <w:szCs w:val="32"/>
        </w:rPr>
        <w:t>桂林市七星区</w:t>
      </w:r>
      <w:r>
        <w:rPr>
          <w:rFonts w:hint="eastAsia" w:ascii="仿宋_GB2312" w:hAnsi="Times New Roman" w:eastAsia="仿宋_GB2312" w:cs="仿宋_GB2312"/>
          <w:color w:val="auto"/>
          <w:kern w:val="0"/>
          <w:sz w:val="32"/>
          <w:szCs w:val="32"/>
          <w:lang w:eastAsia="zh-CN"/>
        </w:rPr>
        <w:t>住房和城乡建设</w:t>
      </w:r>
      <w:r>
        <w:rPr>
          <w:rFonts w:hint="eastAsia" w:ascii="仿宋_GB2312" w:hAnsi="Times New Roman" w:eastAsia="仿宋_GB2312" w:cs="仿宋_GB2312"/>
          <w:color w:val="auto"/>
          <w:kern w:val="0"/>
          <w:sz w:val="32"/>
          <w:szCs w:val="32"/>
        </w:rPr>
        <w:t>局本级单位行政机构一个，</w:t>
      </w:r>
      <w:r>
        <w:rPr>
          <w:rFonts w:hint="eastAsia" w:ascii="仿宋_GB2312" w:hAnsi="微软雅黑" w:eastAsia="仿宋_GB2312" w:cs="仿宋_GB2312"/>
          <w:i w:val="0"/>
          <w:caps w:val="0"/>
          <w:color w:val="auto"/>
          <w:spacing w:val="0"/>
          <w:sz w:val="32"/>
          <w:szCs w:val="32"/>
          <w:shd w:val="clear" w:color="auto" w:fill="FFFFFF"/>
        </w:rPr>
        <w:t>单位在职总人数为2</w:t>
      </w:r>
      <w:r>
        <w:rPr>
          <w:rFonts w:hint="eastAsia" w:ascii="仿宋_GB2312" w:hAnsi="微软雅黑" w:eastAsia="仿宋_GB2312" w:cs="仿宋_GB2312"/>
          <w:i w:val="0"/>
          <w:caps w:val="0"/>
          <w:color w:val="auto"/>
          <w:spacing w:val="0"/>
          <w:sz w:val="32"/>
          <w:szCs w:val="32"/>
          <w:shd w:val="clear" w:color="auto" w:fill="FFFFFF"/>
          <w:lang w:val="en-US" w:eastAsia="zh-CN"/>
        </w:rPr>
        <w:t>6</w:t>
      </w:r>
      <w:r>
        <w:rPr>
          <w:rFonts w:hint="eastAsia" w:ascii="仿宋_GB2312" w:hAnsi="微软雅黑" w:eastAsia="仿宋_GB2312" w:cs="仿宋_GB2312"/>
          <w:i w:val="0"/>
          <w:caps w:val="0"/>
          <w:color w:val="auto"/>
          <w:spacing w:val="0"/>
          <w:sz w:val="32"/>
          <w:szCs w:val="32"/>
          <w:shd w:val="clear" w:color="auto" w:fill="FFFFFF"/>
        </w:rPr>
        <w:t>人：行政编制在职人员8人</w:t>
      </w:r>
      <w:r>
        <w:rPr>
          <w:rFonts w:hint="eastAsia" w:ascii="仿宋_GB2312" w:hAnsi="微软雅黑" w:eastAsia="仿宋_GB2312" w:cs="仿宋_GB2312"/>
          <w:i w:val="0"/>
          <w:caps w:val="0"/>
          <w:color w:val="auto"/>
          <w:spacing w:val="0"/>
          <w:sz w:val="32"/>
          <w:szCs w:val="32"/>
          <w:shd w:val="clear" w:color="auto" w:fill="FFFFFF"/>
          <w:lang w:eastAsia="zh-CN"/>
        </w:rPr>
        <w:t>，</w:t>
      </w:r>
      <w:r>
        <w:rPr>
          <w:rFonts w:hint="eastAsia" w:ascii="仿宋_GB2312" w:hAnsi="微软雅黑" w:eastAsia="仿宋_GB2312" w:cs="仿宋_GB2312"/>
          <w:i w:val="0"/>
          <w:caps w:val="0"/>
          <w:color w:val="auto"/>
          <w:spacing w:val="0"/>
          <w:sz w:val="32"/>
          <w:szCs w:val="32"/>
          <w:shd w:val="clear" w:color="auto" w:fill="FFFFFF"/>
        </w:rPr>
        <w:t>参公人员2人；区政府聘用人员3人；区劳务派遣人员</w:t>
      </w:r>
      <w:r>
        <w:rPr>
          <w:rFonts w:hint="eastAsia" w:ascii="仿宋_GB2312" w:hAnsi="微软雅黑" w:eastAsia="仿宋_GB2312" w:cs="仿宋_GB2312"/>
          <w:i w:val="0"/>
          <w:caps w:val="0"/>
          <w:color w:val="auto"/>
          <w:spacing w:val="0"/>
          <w:sz w:val="32"/>
          <w:szCs w:val="32"/>
          <w:shd w:val="clear" w:color="auto" w:fill="FFFFFF"/>
          <w:lang w:val="en-US" w:eastAsia="zh-CN"/>
        </w:rPr>
        <w:t>7</w:t>
      </w:r>
      <w:r>
        <w:rPr>
          <w:rFonts w:hint="eastAsia" w:ascii="仿宋_GB2312" w:hAnsi="微软雅黑" w:eastAsia="仿宋_GB2312" w:cs="仿宋_GB2312"/>
          <w:i w:val="0"/>
          <w:caps w:val="0"/>
          <w:color w:val="auto"/>
          <w:spacing w:val="0"/>
          <w:sz w:val="32"/>
          <w:szCs w:val="32"/>
          <w:shd w:val="clear" w:color="auto" w:fill="FFFFFF"/>
        </w:rPr>
        <w:t>人；城管借用人员5人；其他工作人员1人。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二、部门预算情况说明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（一）202</w:t>
      </w:r>
      <w:r>
        <w:rPr>
          <w:rFonts w:hint="eastAsia" w:ascii="仿宋_GB2312" w:eastAsia="仿宋_GB2312" w:cs="Times New Roman"/>
          <w:sz w:val="32"/>
          <w:szCs w:val="32"/>
          <w:lang w:val="en-US" w:eastAsia="zh-CN"/>
        </w:rPr>
        <w:t>6</w:t>
      </w:r>
      <w:r>
        <w:rPr>
          <w:rFonts w:hint="eastAsia" w:ascii="仿宋_GB2312" w:hAnsi="Times New Roman" w:eastAsia="仿宋_GB2312" w:cs="Times New Roman"/>
          <w:sz w:val="32"/>
          <w:szCs w:val="32"/>
          <w:lang w:val="en-US" w:eastAsia="zh-CN"/>
        </w:rPr>
        <w:t>年部门预算收支总体情况说明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我部门收支总预算</w:t>
      </w:r>
      <w:r>
        <w:rPr>
          <w:rFonts w:hint="eastAsia" w:ascii="仿宋_GB2312" w:eastAsia="仿宋_GB2312" w:cs="Times New Roman"/>
          <w:sz w:val="32"/>
          <w:szCs w:val="32"/>
          <w:lang w:val="en-US" w:eastAsia="zh-CN"/>
        </w:rPr>
        <w:t>188.41</w:t>
      </w:r>
      <w:r>
        <w:rPr>
          <w:rFonts w:hint="eastAsia" w:ascii="仿宋_GB2312" w:hAnsi="Times New Roman" w:eastAsia="仿宋_GB2312" w:cs="Times New Roman"/>
          <w:sz w:val="32"/>
          <w:szCs w:val="32"/>
          <w:lang w:val="en-US" w:eastAsia="zh-CN"/>
        </w:rPr>
        <w:t>万元。总支出</w:t>
      </w:r>
      <w:r>
        <w:rPr>
          <w:rFonts w:hint="eastAsia" w:ascii="仿宋_GB2312" w:eastAsia="仿宋_GB2312" w:cs="Times New Roman"/>
          <w:sz w:val="32"/>
          <w:szCs w:val="32"/>
          <w:lang w:val="en-US" w:eastAsia="zh-CN"/>
        </w:rPr>
        <w:t>188.41</w:t>
      </w:r>
      <w:r>
        <w:rPr>
          <w:rFonts w:hint="eastAsia" w:ascii="仿宋_GB2312" w:hAnsi="Times New Roman" w:eastAsia="仿宋_GB2312" w:cs="Times New Roman"/>
          <w:sz w:val="32"/>
          <w:szCs w:val="32"/>
          <w:lang w:val="en-US" w:eastAsia="zh-CN"/>
        </w:rPr>
        <w:t>万元，同比</w:t>
      </w:r>
      <w:r>
        <w:rPr>
          <w:rFonts w:hint="eastAsia" w:ascii="仿宋_GB2312" w:eastAsia="仿宋_GB2312" w:cs="Times New Roman"/>
          <w:sz w:val="32"/>
          <w:szCs w:val="32"/>
          <w:lang w:val="en-US" w:eastAsia="zh-CN"/>
        </w:rPr>
        <w:t>增加11.16</w:t>
      </w:r>
      <w:r>
        <w:rPr>
          <w:rFonts w:hint="eastAsia" w:ascii="仿宋_GB2312" w:hAnsi="Times New Roman" w:eastAsia="仿宋_GB2312" w:cs="Times New Roman"/>
          <w:sz w:val="32"/>
          <w:szCs w:val="32"/>
          <w:lang w:val="en-US" w:eastAsia="zh-CN"/>
        </w:rPr>
        <w:t>%，主要原因人员</w:t>
      </w:r>
      <w:r>
        <w:rPr>
          <w:rFonts w:hint="eastAsia" w:ascii="仿宋_GB2312" w:eastAsia="仿宋_GB2312" w:cs="Times New Roman"/>
          <w:sz w:val="32"/>
          <w:szCs w:val="32"/>
          <w:lang w:val="en-US" w:eastAsia="zh-CN"/>
        </w:rPr>
        <w:t>新增</w:t>
      </w:r>
      <w:r>
        <w:rPr>
          <w:rFonts w:hint="eastAsia" w:ascii="仿宋_GB2312"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（二）202</w:t>
      </w:r>
      <w:r>
        <w:rPr>
          <w:rFonts w:hint="eastAsia" w:ascii="仿宋_GB2312" w:eastAsia="仿宋_GB2312" w:cs="Times New Roman"/>
          <w:sz w:val="32"/>
          <w:szCs w:val="32"/>
          <w:lang w:val="en-US" w:eastAsia="zh-CN"/>
        </w:rPr>
        <w:t>6</w:t>
      </w:r>
      <w:r>
        <w:rPr>
          <w:rFonts w:hint="eastAsia" w:ascii="仿宋_GB2312" w:hAnsi="Times New Roman" w:eastAsia="仿宋_GB2312" w:cs="Times New Roman"/>
          <w:sz w:val="32"/>
          <w:szCs w:val="32"/>
          <w:lang w:val="en-US" w:eastAsia="zh-CN"/>
        </w:rPr>
        <w:t>年一般</w:t>
      </w:r>
      <w:bookmarkStart w:id="0" w:name="_GoBack"/>
      <w:bookmarkEnd w:id="0"/>
      <w:r>
        <w:rPr>
          <w:rFonts w:hint="eastAsia" w:ascii="仿宋_GB2312" w:hAnsi="Times New Roman" w:eastAsia="仿宋_GB2312" w:cs="Times New Roman"/>
          <w:sz w:val="32"/>
          <w:szCs w:val="32"/>
          <w:lang w:val="en-US" w:eastAsia="zh-CN"/>
        </w:rPr>
        <w:t>公共预算支出情况说明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一般公共预算支出共0万元。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按支出功能分类科目划分共5类：一般公共服务支出0万元、社会保障和就业支出</w:t>
      </w:r>
      <w:r>
        <w:rPr>
          <w:rFonts w:hint="eastAsia" w:ascii="仿宋_GB2312" w:eastAsia="仿宋_GB2312" w:cs="Times New Roman"/>
          <w:sz w:val="32"/>
          <w:szCs w:val="32"/>
          <w:highlight w:val="none"/>
          <w:lang w:val="en-US" w:eastAsia="zh-CN"/>
        </w:rPr>
        <w:t>19.5</w:t>
      </w:r>
      <w:r>
        <w:rPr>
          <w:rFonts w:hint="eastAsia" w:ascii="仿宋_GB2312" w:hAnsi="Times New Roman" w:eastAsia="仿宋_GB2312" w:cs="Times New Roman"/>
          <w:sz w:val="32"/>
          <w:szCs w:val="32"/>
          <w:highlight w:val="none"/>
          <w:lang w:val="en-US" w:eastAsia="zh-CN"/>
        </w:rPr>
        <w:t>万元、卫生健康支出</w:t>
      </w:r>
      <w:r>
        <w:rPr>
          <w:rFonts w:hint="eastAsia" w:ascii="仿宋_GB2312" w:eastAsia="仿宋_GB2312" w:cs="Times New Roman"/>
          <w:sz w:val="32"/>
          <w:szCs w:val="32"/>
          <w:highlight w:val="none"/>
          <w:lang w:val="en-US" w:eastAsia="zh-CN"/>
        </w:rPr>
        <w:t>10.07</w:t>
      </w:r>
      <w:r>
        <w:rPr>
          <w:rFonts w:hint="eastAsia" w:ascii="仿宋_GB2312" w:hAnsi="Times New Roman" w:eastAsia="仿宋_GB2312" w:cs="Times New Roman"/>
          <w:sz w:val="32"/>
          <w:szCs w:val="32"/>
          <w:highlight w:val="none"/>
          <w:lang w:val="en-US" w:eastAsia="zh-CN"/>
        </w:rPr>
        <w:t>万元、城乡社区支出</w:t>
      </w:r>
      <w:r>
        <w:rPr>
          <w:rFonts w:hint="eastAsia" w:ascii="仿宋_GB2312" w:eastAsia="仿宋_GB2312" w:cs="Times New Roman"/>
          <w:sz w:val="32"/>
          <w:szCs w:val="32"/>
          <w:highlight w:val="none"/>
          <w:lang w:val="en-US" w:eastAsia="zh-CN"/>
        </w:rPr>
        <w:t>146.92</w:t>
      </w:r>
      <w:r>
        <w:rPr>
          <w:rFonts w:hint="eastAsia" w:ascii="仿宋_GB2312" w:hAnsi="Times New Roman" w:eastAsia="仿宋_GB2312" w:cs="Times New Roman"/>
          <w:sz w:val="32"/>
          <w:szCs w:val="32"/>
          <w:highlight w:val="none"/>
          <w:lang w:val="en-US" w:eastAsia="zh-CN"/>
        </w:rPr>
        <w:t>万元、住房保障支出</w:t>
      </w:r>
      <w:r>
        <w:rPr>
          <w:rFonts w:hint="eastAsia" w:ascii="仿宋_GB2312" w:eastAsia="仿宋_GB2312" w:cs="Times New Roman"/>
          <w:sz w:val="32"/>
          <w:szCs w:val="32"/>
          <w:highlight w:val="none"/>
          <w:lang w:val="en-US" w:eastAsia="zh-CN"/>
        </w:rPr>
        <w:t>11.92</w:t>
      </w:r>
      <w:r>
        <w:rPr>
          <w:rFonts w:hint="eastAsia" w:ascii="仿宋_GB2312" w:hAnsi="Times New Roman" w:eastAsia="仿宋_GB2312" w:cs="Times New Roman"/>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按支出结构划分，分为基本支出和项目支出：基本支出</w:t>
      </w:r>
      <w:r>
        <w:rPr>
          <w:rFonts w:hint="eastAsia" w:ascii="仿宋_GB2312" w:eastAsia="仿宋_GB2312" w:cs="Times New Roman"/>
          <w:color w:val="auto"/>
          <w:sz w:val="32"/>
          <w:szCs w:val="32"/>
          <w:highlight w:val="none"/>
          <w:lang w:val="en-US" w:eastAsia="zh-CN"/>
        </w:rPr>
        <w:t>174.46</w:t>
      </w:r>
      <w:r>
        <w:rPr>
          <w:rFonts w:hint="eastAsia" w:ascii="仿宋_GB2312" w:hAnsi="Times New Roman" w:eastAsia="仿宋_GB2312" w:cs="Times New Roman"/>
          <w:color w:val="auto"/>
          <w:sz w:val="32"/>
          <w:szCs w:val="32"/>
          <w:highlight w:val="none"/>
          <w:lang w:val="en-US" w:eastAsia="zh-CN"/>
        </w:rPr>
        <w:t>万元，占一般公共预算支出的</w:t>
      </w:r>
      <w:r>
        <w:rPr>
          <w:rFonts w:hint="eastAsia" w:ascii="仿宋_GB2312" w:eastAsia="仿宋_GB2312" w:cs="Times New Roman"/>
          <w:color w:val="auto"/>
          <w:sz w:val="32"/>
          <w:szCs w:val="32"/>
          <w:highlight w:val="none"/>
          <w:lang w:val="en-US" w:eastAsia="zh-CN"/>
        </w:rPr>
        <w:t>85.1</w:t>
      </w:r>
      <w:r>
        <w:rPr>
          <w:rFonts w:hint="eastAsia" w:ascii="仿宋_GB2312" w:hAnsi="Times New Roman" w:eastAsia="仿宋_GB2312" w:cs="Times New Roman"/>
          <w:color w:val="auto"/>
          <w:sz w:val="32"/>
          <w:szCs w:val="32"/>
          <w:highlight w:val="none"/>
          <w:lang w:val="en-US" w:eastAsia="zh-CN"/>
        </w:rPr>
        <w:t>%；项目支出</w:t>
      </w:r>
      <w:r>
        <w:rPr>
          <w:rFonts w:hint="eastAsia" w:ascii="仿宋_GB2312" w:eastAsia="仿宋_GB2312" w:cs="Times New Roman"/>
          <w:color w:val="auto"/>
          <w:sz w:val="32"/>
          <w:szCs w:val="32"/>
          <w:highlight w:val="none"/>
          <w:lang w:val="en-US" w:eastAsia="zh-CN"/>
        </w:rPr>
        <w:t>13.95</w:t>
      </w:r>
      <w:r>
        <w:rPr>
          <w:rFonts w:hint="eastAsia" w:ascii="仿宋_GB2312" w:hAnsi="Times New Roman" w:eastAsia="仿宋_GB2312" w:cs="Times New Roman"/>
          <w:color w:val="auto"/>
          <w:sz w:val="32"/>
          <w:szCs w:val="32"/>
          <w:highlight w:val="none"/>
          <w:lang w:val="en-US" w:eastAsia="zh-CN"/>
        </w:rPr>
        <w:t>万元，占一般公共预算支出的</w:t>
      </w:r>
      <w:r>
        <w:rPr>
          <w:rFonts w:hint="eastAsia" w:ascii="仿宋_GB2312" w:eastAsia="仿宋_GB2312" w:cs="Times New Roman"/>
          <w:color w:val="auto"/>
          <w:sz w:val="32"/>
          <w:szCs w:val="32"/>
          <w:highlight w:val="none"/>
          <w:lang w:val="en-US" w:eastAsia="zh-CN"/>
        </w:rPr>
        <w:t>7.4</w:t>
      </w:r>
      <w:r>
        <w:rPr>
          <w:rFonts w:hint="eastAsia" w:ascii="仿宋_GB2312"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（三）2025年一般公共预算基本支出情况说明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我部门一般公共预算基本支出共</w:t>
      </w:r>
      <w:r>
        <w:rPr>
          <w:rFonts w:hint="eastAsia" w:ascii="仿宋_GB2312" w:eastAsia="仿宋_GB2312" w:cs="Times New Roman"/>
          <w:sz w:val="32"/>
          <w:szCs w:val="32"/>
          <w:lang w:val="en-US" w:eastAsia="zh-CN"/>
        </w:rPr>
        <w:t>174.46</w:t>
      </w:r>
      <w:r>
        <w:rPr>
          <w:rFonts w:hint="eastAsia" w:ascii="仿宋_GB2312" w:hAnsi="Times New Roman" w:eastAsia="仿宋_GB2312" w:cs="Times New Roman"/>
          <w:sz w:val="32"/>
          <w:szCs w:val="32"/>
          <w:lang w:val="en-US" w:eastAsia="zh-CN"/>
        </w:rPr>
        <w:t>万元，较上年</w:t>
      </w:r>
      <w:r>
        <w:rPr>
          <w:rFonts w:hint="eastAsia" w:ascii="仿宋_GB2312" w:eastAsia="仿宋_GB2312" w:cs="Times New Roman"/>
          <w:sz w:val="32"/>
          <w:szCs w:val="32"/>
          <w:lang w:val="en-US" w:eastAsia="zh-CN"/>
        </w:rPr>
        <w:t>增加25.16</w:t>
      </w:r>
      <w:r>
        <w:rPr>
          <w:rFonts w:hint="eastAsia" w:ascii="仿宋_GB2312" w:hAnsi="Times New Roman" w:eastAsia="仿宋_GB2312" w:cs="Times New Roman"/>
          <w:sz w:val="32"/>
          <w:szCs w:val="32"/>
          <w:lang w:val="en-US" w:eastAsia="zh-CN"/>
        </w:rPr>
        <w:t>万元，</w:t>
      </w:r>
      <w:r>
        <w:rPr>
          <w:rFonts w:hint="eastAsia" w:ascii="仿宋_GB2312" w:eastAsia="仿宋_GB2312" w:cs="Times New Roman"/>
          <w:sz w:val="32"/>
          <w:szCs w:val="32"/>
          <w:lang w:val="en-US" w:eastAsia="zh-CN"/>
        </w:rPr>
        <w:t>增加16.85</w:t>
      </w:r>
      <w:r>
        <w:rPr>
          <w:rFonts w:hint="eastAsia" w:ascii="仿宋_GB2312" w:hAnsi="Times New Roman" w:eastAsia="仿宋_GB2312" w:cs="Times New Roman"/>
          <w:sz w:val="32"/>
          <w:szCs w:val="32"/>
          <w:lang w:val="en-US" w:eastAsia="zh-CN"/>
        </w:rPr>
        <w:t>%，主要原因人员</w:t>
      </w:r>
      <w:r>
        <w:rPr>
          <w:rFonts w:hint="eastAsia" w:ascii="仿宋_GB2312" w:eastAsia="仿宋_GB2312" w:cs="Times New Roman"/>
          <w:sz w:val="32"/>
          <w:szCs w:val="32"/>
          <w:lang w:val="en-US" w:eastAsia="zh-CN"/>
        </w:rPr>
        <w:t>增加</w:t>
      </w:r>
      <w:r>
        <w:rPr>
          <w:rFonts w:hint="eastAsia" w:ascii="仿宋_GB2312"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具体情况为：人员经费</w:t>
      </w:r>
      <w:r>
        <w:rPr>
          <w:rFonts w:hint="eastAsia" w:ascii="仿宋_GB2312" w:eastAsia="仿宋_GB2312" w:cs="Times New Roman"/>
          <w:sz w:val="32"/>
          <w:szCs w:val="32"/>
          <w:lang w:val="en-US" w:eastAsia="zh-CN"/>
        </w:rPr>
        <w:t>160.28</w:t>
      </w:r>
      <w:r>
        <w:rPr>
          <w:rFonts w:hint="eastAsia" w:ascii="仿宋_GB2312" w:hAnsi="Times New Roman" w:eastAsia="仿宋_GB2312" w:cs="Times New Roman"/>
          <w:sz w:val="32"/>
          <w:szCs w:val="32"/>
          <w:lang w:val="en-US" w:eastAsia="zh-CN"/>
        </w:rPr>
        <w:t>万元，主要包括：基本工资、津贴补贴、奖金、绩效工资、机关事业单位基本养老保险缴费、职业年金缴费、职工基本医疗保险缴费、公务员医疗补助缴费、其他社会保障缴费、住房公积金。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公用经费</w:t>
      </w:r>
      <w:r>
        <w:rPr>
          <w:rFonts w:hint="eastAsia" w:ascii="仿宋_GB2312" w:eastAsia="仿宋_GB2312" w:cs="Times New Roman"/>
          <w:sz w:val="32"/>
          <w:szCs w:val="32"/>
          <w:lang w:val="en-US" w:eastAsia="zh-CN"/>
        </w:rPr>
        <w:t>14.18</w:t>
      </w:r>
      <w:r>
        <w:rPr>
          <w:rFonts w:hint="eastAsia" w:ascii="仿宋_GB2312" w:hAnsi="Times New Roman" w:eastAsia="仿宋_GB2312" w:cs="Times New Roman"/>
          <w:sz w:val="32"/>
          <w:szCs w:val="32"/>
          <w:lang w:val="en-US" w:eastAsia="zh-CN"/>
        </w:rPr>
        <w:t>万元，主要包括：办公费、商品和服务支出、邮电费、公务接待费、委托业务费、会议费、差旅费等。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（四）202</w:t>
      </w:r>
      <w:r>
        <w:rPr>
          <w:rFonts w:hint="eastAsia" w:ascii="仿宋_GB2312" w:eastAsia="仿宋_GB2312" w:cs="Times New Roman"/>
          <w:sz w:val="32"/>
          <w:szCs w:val="32"/>
          <w:lang w:val="en-US" w:eastAsia="zh-CN"/>
        </w:rPr>
        <w:t>6</w:t>
      </w:r>
      <w:r>
        <w:rPr>
          <w:rFonts w:hint="eastAsia" w:ascii="仿宋_GB2312" w:hAnsi="Times New Roman" w:eastAsia="仿宋_GB2312" w:cs="Times New Roman"/>
          <w:sz w:val="32"/>
          <w:szCs w:val="32"/>
          <w:lang w:val="en-US" w:eastAsia="zh-CN"/>
        </w:rPr>
        <w:t>年“三公”经费预算情况说明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202</w:t>
      </w:r>
      <w:r>
        <w:rPr>
          <w:rFonts w:hint="eastAsia" w:ascii="仿宋_GB2312" w:eastAsia="仿宋_GB2312" w:cs="Times New Roman"/>
          <w:sz w:val="32"/>
          <w:szCs w:val="32"/>
          <w:lang w:val="en-US" w:eastAsia="zh-CN"/>
        </w:rPr>
        <w:t>6</w:t>
      </w:r>
      <w:r>
        <w:rPr>
          <w:rFonts w:hint="eastAsia" w:ascii="仿宋_GB2312" w:hAnsi="Times New Roman" w:eastAsia="仿宋_GB2312" w:cs="Times New Roman"/>
          <w:sz w:val="32"/>
          <w:szCs w:val="32"/>
          <w:lang w:val="en-US" w:eastAsia="zh-CN"/>
        </w:rPr>
        <w:t>年“三公”经费财政拨款预算</w:t>
      </w:r>
      <w:r>
        <w:rPr>
          <w:rFonts w:hint="eastAsia" w:ascii="仿宋_GB2312" w:eastAsia="仿宋_GB2312" w:cs="Times New Roman"/>
          <w:sz w:val="32"/>
          <w:szCs w:val="32"/>
          <w:lang w:val="en-US" w:eastAsia="zh-CN"/>
        </w:rPr>
        <w:t>0.9</w:t>
      </w:r>
      <w:r>
        <w:rPr>
          <w:rFonts w:hint="eastAsia" w:ascii="仿宋_GB2312" w:hAnsi="Times New Roman" w:eastAsia="仿宋_GB2312" w:cs="Times New Roman"/>
          <w:sz w:val="32"/>
          <w:szCs w:val="32"/>
          <w:lang w:val="en-US" w:eastAsia="zh-CN"/>
        </w:rPr>
        <w:t>万元，比202</w:t>
      </w:r>
      <w:r>
        <w:rPr>
          <w:rFonts w:hint="eastAsia" w:ascii="仿宋_GB2312" w:eastAsia="仿宋_GB2312" w:cs="Times New Roman"/>
          <w:sz w:val="32"/>
          <w:szCs w:val="32"/>
          <w:lang w:val="en-US" w:eastAsia="zh-CN"/>
        </w:rPr>
        <w:t>5</w:t>
      </w:r>
      <w:r>
        <w:rPr>
          <w:rFonts w:hint="eastAsia" w:ascii="仿宋_GB2312" w:hAnsi="Times New Roman" w:eastAsia="仿宋_GB2312" w:cs="Times New Roman"/>
          <w:sz w:val="32"/>
          <w:szCs w:val="32"/>
          <w:lang w:val="en-US" w:eastAsia="zh-CN"/>
        </w:rPr>
        <w:t>年预算数减少0.</w:t>
      </w:r>
      <w:r>
        <w:rPr>
          <w:rFonts w:hint="eastAsia" w:ascii="仿宋_GB2312" w:eastAsia="仿宋_GB2312" w:cs="Times New Roman"/>
          <w:sz w:val="32"/>
          <w:szCs w:val="32"/>
          <w:lang w:val="en-US" w:eastAsia="zh-CN"/>
        </w:rPr>
        <w:t>36</w:t>
      </w:r>
      <w:r>
        <w:rPr>
          <w:rFonts w:hint="eastAsia" w:ascii="仿宋_GB2312" w:hAnsi="Times New Roman" w:eastAsia="仿宋_GB2312" w:cs="Times New Roman"/>
          <w:sz w:val="32"/>
          <w:szCs w:val="32"/>
          <w:lang w:val="en-US" w:eastAsia="zh-CN"/>
        </w:rPr>
        <w:t>万元，下降</w:t>
      </w:r>
      <w:r>
        <w:rPr>
          <w:rFonts w:hint="eastAsia" w:ascii="仿宋_GB2312" w:eastAsia="仿宋_GB2312" w:cs="Times New Roman"/>
          <w:sz w:val="32"/>
          <w:szCs w:val="32"/>
          <w:lang w:val="en-US" w:eastAsia="zh-CN"/>
        </w:rPr>
        <w:t>28.57</w:t>
      </w:r>
      <w:r>
        <w:rPr>
          <w:rFonts w:hint="eastAsia" w:ascii="仿宋_GB2312" w:hAnsi="Times New Roman" w:eastAsia="仿宋_GB2312" w:cs="Times New Roman"/>
          <w:sz w:val="32"/>
          <w:szCs w:val="32"/>
          <w:lang w:val="en-US" w:eastAsia="zh-CN"/>
        </w:rPr>
        <w:t>%，其中：因公出国（境）经费0万元；公务接待费</w:t>
      </w:r>
      <w:r>
        <w:rPr>
          <w:rFonts w:hint="eastAsia" w:ascii="仿宋_GB2312" w:eastAsia="仿宋_GB2312" w:cs="Times New Roman"/>
          <w:sz w:val="32"/>
          <w:szCs w:val="32"/>
          <w:lang w:val="en-US" w:eastAsia="zh-CN"/>
        </w:rPr>
        <w:t>0.3</w:t>
      </w:r>
      <w:r>
        <w:rPr>
          <w:rFonts w:hint="eastAsia" w:ascii="仿宋_GB2312" w:hAnsi="Times New Roman" w:eastAsia="仿宋_GB2312" w:cs="Times New Roman"/>
          <w:sz w:val="32"/>
          <w:szCs w:val="32"/>
          <w:lang w:val="en-US" w:eastAsia="zh-CN"/>
        </w:rPr>
        <w:t>万元；公务用车运行费0万元；会议费0.</w:t>
      </w: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val="en-US" w:eastAsia="zh-CN"/>
        </w:rPr>
        <w:t>万元；培训费0.</w:t>
      </w: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三、其他重要事项情况说明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（一）机关运行经费安排情况说明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我部门202</w:t>
      </w:r>
      <w:r>
        <w:rPr>
          <w:rFonts w:hint="eastAsia" w:ascii="仿宋_GB2312" w:eastAsia="仿宋_GB2312" w:cs="Times New Roman"/>
          <w:sz w:val="32"/>
          <w:szCs w:val="32"/>
          <w:lang w:val="en-US" w:eastAsia="zh-CN"/>
        </w:rPr>
        <w:t>6</w:t>
      </w:r>
      <w:r>
        <w:rPr>
          <w:rFonts w:hint="eastAsia" w:ascii="仿宋_GB2312" w:hAnsi="Times New Roman" w:eastAsia="仿宋_GB2312" w:cs="Times New Roman"/>
          <w:sz w:val="32"/>
          <w:szCs w:val="32"/>
          <w:lang w:val="en-US" w:eastAsia="zh-CN"/>
        </w:rPr>
        <w:t>年机关运行经费财政拨款预算</w:t>
      </w:r>
      <w:r>
        <w:rPr>
          <w:rFonts w:hint="eastAsia" w:ascii="仿宋_GB2312" w:eastAsia="仿宋_GB2312" w:cs="Times New Roman"/>
          <w:sz w:val="32"/>
          <w:szCs w:val="32"/>
          <w:lang w:val="en-US" w:eastAsia="zh-CN"/>
        </w:rPr>
        <w:t>132.81</w:t>
      </w:r>
      <w:r>
        <w:rPr>
          <w:rFonts w:hint="eastAsia" w:ascii="仿宋_GB2312" w:hAnsi="Times New Roman" w:eastAsia="仿宋_GB2312" w:cs="Times New Roman"/>
          <w:sz w:val="32"/>
          <w:szCs w:val="32"/>
          <w:lang w:val="en-US" w:eastAsia="zh-CN"/>
        </w:rPr>
        <w:t>万元。同比</w:t>
      </w:r>
      <w:r>
        <w:rPr>
          <w:rFonts w:hint="eastAsia" w:ascii="仿宋_GB2312" w:eastAsia="仿宋_GB2312" w:cs="Times New Roman"/>
          <w:sz w:val="32"/>
          <w:szCs w:val="32"/>
          <w:lang w:val="en-US" w:eastAsia="zh-CN"/>
        </w:rPr>
        <w:t>增加18.65</w:t>
      </w:r>
      <w:r>
        <w:rPr>
          <w:rFonts w:hint="eastAsia" w:ascii="仿宋_GB2312" w:hAnsi="Times New Roman" w:eastAsia="仿宋_GB2312" w:cs="Times New Roman"/>
          <w:sz w:val="32"/>
          <w:szCs w:val="32"/>
          <w:lang w:val="en-US" w:eastAsia="zh-CN"/>
        </w:rPr>
        <w:t>万元，</w:t>
      </w:r>
      <w:r>
        <w:rPr>
          <w:rFonts w:hint="eastAsia" w:ascii="仿宋_GB2312" w:eastAsia="仿宋_GB2312" w:cs="Times New Roman"/>
          <w:sz w:val="32"/>
          <w:szCs w:val="32"/>
          <w:lang w:val="en-US" w:eastAsia="zh-CN"/>
        </w:rPr>
        <w:t>增加16.34</w:t>
      </w:r>
      <w:r>
        <w:rPr>
          <w:rFonts w:hint="eastAsia" w:ascii="仿宋_GB2312" w:hAnsi="Times New Roman" w:eastAsia="仿宋_GB2312" w:cs="Times New Roman"/>
          <w:sz w:val="32"/>
          <w:szCs w:val="32"/>
          <w:lang w:val="en-US" w:eastAsia="zh-CN"/>
        </w:rPr>
        <w:t>%，主要原因是人员</w:t>
      </w:r>
      <w:r>
        <w:rPr>
          <w:rFonts w:hint="eastAsia" w:ascii="仿宋_GB2312" w:eastAsia="仿宋_GB2312" w:cs="Times New Roman"/>
          <w:sz w:val="32"/>
          <w:szCs w:val="32"/>
          <w:lang w:val="en-US" w:eastAsia="zh-CN"/>
        </w:rPr>
        <w:t>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（二）政府采购情况说明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我单位202</w:t>
      </w:r>
      <w:r>
        <w:rPr>
          <w:rFonts w:hint="eastAsia" w:ascii="仿宋_GB2312" w:eastAsia="仿宋_GB2312" w:cs="Times New Roman"/>
          <w:sz w:val="32"/>
          <w:szCs w:val="32"/>
          <w:lang w:val="en-US" w:eastAsia="zh-CN"/>
        </w:rPr>
        <w:t>6</w:t>
      </w:r>
      <w:r>
        <w:rPr>
          <w:rFonts w:hint="eastAsia" w:ascii="仿宋_GB2312" w:hAnsi="Times New Roman" w:eastAsia="仿宋_GB2312" w:cs="Times New Roman"/>
          <w:sz w:val="32"/>
          <w:szCs w:val="32"/>
          <w:lang w:val="en-US" w:eastAsia="zh-CN"/>
        </w:rPr>
        <w:t>年政府采购预算总金额</w:t>
      </w:r>
      <w:r>
        <w:rPr>
          <w:rFonts w:hint="eastAsia" w:ascii="仿宋_GB2312" w:eastAsia="仿宋_GB2312" w:cs="Times New Roman"/>
          <w:sz w:val="32"/>
          <w:szCs w:val="32"/>
          <w:lang w:val="en-US" w:eastAsia="zh-CN"/>
        </w:rPr>
        <w:t>2.4</w:t>
      </w:r>
      <w:r>
        <w:rPr>
          <w:rFonts w:hint="eastAsia" w:ascii="仿宋_GB2312" w:hAnsi="Times New Roman" w:eastAsia="仿宋_GB2312" w:cs="Times New Roman"/>
          <w:sz w:val="32"/>
          <w:szCs w:val="32"/>
          <w:lang w:val="en-US" w:eastAsia="zh-CN"/>
        </w:rPr>
        <w:t>万元。其中：货物类采购</w:t>
      </w:r>
      <w:r>
        <w:rPr>
          <w:rFonts w:hint="eastAsia" w:ascii="仿宋_GB2312" w:eastAsia="仿宋_GB2312" w:cs="Times New Roman"/>
          <w:sz w:val="32"/>
          <w:szCs w:val="32"/>
          <w:lang w:val="en-US" w:eastAsia="zh-CN"/>
        </w:rPr>
        <w:t>2.4</w:t>
      </w:r>
      <w:r>
        <w:rPr>
          <w:rFonts w:hint="eastAsia" w:ascii="仿宋_GB2312" w:hAnsi="Times New Roman" w:eastAsia="仿宋_GB2312" w:cs="Times New Roman"/>
          <w:sz w:val="32"/>
          <w:szCs w:val="32"/>
          <w:lang w:val="en-US" w:eastAsia="zh-CN"/>
        </w:rPr>
        <w:t>万元、工程类采购0万元、服务类采购0万元。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（三）国有资产占用情况说明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固定资产</w:t>
      </w:r>
      <w:r>
        <w:rPr>
          <w:rFonts w:hint="eastAsia" w:ascii="仿宋_GB2312" w:eastAsia="仿宋_GB2312" w:cs="Times New Roman"/>
          <w:sz w:val="32"/>
          <w:szCs w:val="32"/>
          <w:highlight w:val="none"/>
          <w:lang w:val="en-US" w:eastAsia="zh-CN"/>
        </w:rPr>
        <w:t>28.832241</w:t>
      </w:r>
      <w:r>
        <w:rPr>
          <w:rFonts w:hint="eastAsia" w:ascii="仿宋_GB2312" w:hAnsi="Times New Roman" w:eastAsia="仿宋_GB2312" w:cs="Times New Roman"/>
          <w:sz w:val="32"/>
          <w:szCs w:val="32"/>
          <w:highlight w:val="none"/>
          <w:lang w:val="en-US" w:eastAsia="zh-CN"/>
        </w:rPr>
        <w:t>万元，其中：设备</w:t>
      </w:r>
      <w:r>
        <w:rPr>
          <w:rFonts w:hint="eastAsia" w:ascii="仿宋_GB2312" w:eastAsia="仿宋_GB2312" w:cs="Times New Roman"/>
          <w:sz w:val="32"/>
          <w:szCs w:val="32"/>
          <w:highlight w:val="none"/>
          <w:lang w:val="en-US" w:eastAsia="zh-CN"/>
        </w:rPr>
        <w:t>15.960365</w:t>
      </w:r>
      <w:r>
        <w:rPr>
          <w:rFonts w:hint="eastAsia" w:ascii="仿宋_GB2312" w:hAnsi="Times New Roman" w:eastAsia="仿宋_GB2312" w:cs="Times New Roman"/>
          <w:sz w:val="32"/>
          <w:szCs w:val="32"/>
          <w:highlight w:val="none"/>
          <w:lang w:val="en-US" w:eastAsia="zh-CN"/>
        </w:rPr>
        <w:t>万元、家具和用具</w:t>
      </w:r>
      <w:r>
        <w:rPr>
          <w:rFonts w:hint="eastAsia" w:ascii="仿宋_GB2312" w:eastAsia="仿宋_GB2312" w:cs="Times New Roman"/>
          <w:sz w:val="32"/>
          <w:szCs w:val="32"/>
          <w:highlight w:val="none"/>
          <w:lang w:val="en-US" w:eastAsia="zh-CN"/>
        </w:rPr>
        <w:t>12.871876</w:t>
      </w:r>
      <w:r>
        <w:rPr>
          <w:rFonts w:hint="eastAsia" w:ascii="仿宋_GB2312" w:hAnsi="Times New Roman" w:eastAsia="仿宋_GB2312" w:cs="Times New Roman"/>
          <w:sz w:val="32"/>
          <w:szCs w:val="32"/>
          <w:highlight w:val="none"/>
          <w:lang w:val="en-US" w:eastAsia="zh-CN"/>
        </w:rPr>
        <w:t>万元.车辆0辆0万元、无形资产0.786万元。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（四）预算绩效目标情况说明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202</w:t>
      </w:r>
      <w:r>
        <w:rPr>
          <w:rFonts w:hint="eastAsia" w:ascii="仿宋_GB2312" w:eastAsia="仿宋_GB2312" w:cs="Times New Roman"/>
          <w:sz w:val="32"/>
          <w:szCs w:val="32"/>
          <w:lang w:val="en-US" w:eastAsia="zh-CN"/>
        </w:rPr>
        <w:t>6</w:t>
      </w:r>
      <w:r>
        <w:rPr>
          <w:rFonts w:hint="eastAsia" w:ascii="仿宋_GB2312" w:hAnsi="Times New Roman" w:eastAsia="仿宋_GB2312" w:cs="Times New Roman"/>
          <w:sz w:val="32"/>
          <w:szCs w:val="32"/>
          <w:lang w:val="en-US" w:eastAsia="zh-CN"/>
        </w:rPr>
        <w:t>年项目支出预算绩效目标等情况详见附表10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四、专业名词解释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(一)一般公共预算拨款收入:指财政当年拨付的资金。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(三)项目支出:指在基本支出之外为完成特定行政任务和事业发展目标所发生的支出。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四)“三公”经费:纳入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路过桥费、保险费、安全奖励费用等支出;公务接待费反映单位按规定开支的各类公务接待(含外宾接待)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eastAsia="仿宋_GB2312" w:cs="Times New Roman"/>
          <w:sz w:val="32"/>
          <w:szCs w:val="32"/>
          <w:lang w:val="en-US" w:eastAsia="zh-CN"/>
        </w:rPr>
        <w:t>（五）</w:t>
      </w:r>
      <w:r>
        <w:rPr>
          <w:rFonts w:hint="eastAsia" w:ascii="仿宋_GB2312" w:hAnsi="Times New Roman" w:eastAsia="仿宋_GB2312" w:cs="Times New Roman"/>
          <w:sz w:val="32"/>
          <w:szCs w:val="32"/>
          <w:lang w:val="en-US" w:eastAsia="zh-CN"/>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黑体" w:hAnsi="黑体" w:eastAsia="黑体"/>
          <w:sz w:val="32"/>
          <w:szCs w:val="32"/>
          <w:highlight w:val="none"/>
        </w:rPr>
      </w:pPr>
      <w:r>
        <w:rPr>
          <w:rFonts w:hint="eastAsia" w:ascii="黑体" w:hAnsi="黑体" w:eastAsia="黑体"/>
          <w:sz w:val="32"/>
          <w:szCs w:val="32"/>
          <w:highlight w:val="none"/>
          <w:lang w:eastAsia="zh-CN"/>
        </w:rPr>
        <w:t>五、</w:t>
      </w:r>
      <w:r>
        <w:rPr>
          <w:rFonts w:hint="eastAsia" w:ascii="黑体" w:hAnsi="黑体" w:eastAsia="黑体"/>
          <w:sz w:val="32"/>
          <w:szCs w:val="32"/>
          <w:highlight w:val="none"/>
        </w:rPr>
        <w:t>202</w:t>
      </w:r>
      <w:r>
        <w:rPr>
          <w:rFonts w:hint="eastAsia" w:ascii="黑体" w:hAnsi="黑体" w:eastAsia="黑体"/>
          <w:sz w:val="32"/>
          <w:szCs w:val="32"/>
          <w:highlight w:val="none"/>
          <w:lang w:val="en-US" w:eastAsia="zh-CN"/>
        </w:rPr>
        <w:t>6</w:t>
      </w:r>
      <w:r>
        <w:rPr>
          <w:rFonts w:hint="eastAsia" w:ascii="黑体" w:hAnsi="黑体" w:eastAsia="黑体"/>
          <w:sz w:val="32"/>
          <w:szCs w:val="32"/>
          <w:highlight w:val="none"/>
        </w:rPr>
        <w:t>年部门预算报表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一、部门收支总体情况表（表1）</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二、部门收入总体情况表（表2）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三、部门支出总体情况表（表3）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四、财政拨款收支总体情况表（表4）</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五、一般公共预算支出情况表（表5）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六、一般公共预算基本支出情况表（表6）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七、</w:t>
      </w:r>
      <w:r>
        <w:rPr>
          <w:rFonts w:hint="eastAsia" w:ascii="仿宋_GB2312" w:eastAsia="仿宋_GB2312" w:cs="Times New Roman"/>
          <w:sz w:val="32"/>
          <w:szCs w:val="32"/>
          <w:lang w:val="en-US" w:eastAsia="zh-CN"/>
        </w:rPr>
        <w:t>财政拨款</w:t>
      </w:r>
      <w:r>
        <w:rPr>
          <w:rFonts w:hint="eastAsia" w:ascii="仿宋_GB2312" w:hAnsi="Times New Roman" w:eastAsia="仿宋_GB2312" w:cs="Times New Roman"/>
          <w:sz w:val="32"/>
          <w:szCs w:val="32"/>
          <w:lang w:val="en-US" w:eastAsia="zh-CN"/>
        </w:rPr>
        <w:t>“三公”经费</w:t>
      </w:r>
      <w:r>
        <w:rPr>
          <w:rFonts w:hint="eastAsia" w:ascii="仿宋_GB2312" w:eastAsia="仿宋_GB2312" w:cs="Times New Roman"/>
          <w:sz w:val="32"/>
          <w:szCs w:val="32"/>
          <w:lang w:val="en-US" w:eastAsia="zh-CN"/>
        </w:rPr>
        <w:t>、会议费和培训费</w:t>
      </w:r>
      <w:r>
        <w:rPr>
          <w:rFonts w:hint="eastAsia" w:ascii="仿宋_GB2312" w:hAnsi="Times New Roman" w:eastAsia="仿宋_GB2312" w:cs="Times New Roman"/>
          <w:sz w:val="32"/>
          <w:szCs w:val="32"/>
          <w:lang w:val="en-US" w:eastAsia="zh-CN"/>
        </w:rPr>
        <w:t>支出情况表（表7）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八、政府性基金预算支出情况表（表8）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九、国有资本经营预算支出表（表9）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eastAsia="仿宋_GB2312" w:cs="Times New Roman"/>
          <w:sz w:val="32"/>
          <w:szCs w:val="32"/>
          <w:lang w:val="en-US" w:eastAsia="zh-CN"/>
        </w:rPr>
        <w:t>十</w:t>
      </w:r>
      <w:r>
        <w:rPr>
          <w:rFonts w:hint="eastAsia" w:ascii="仿宋_GB2312" w:hAnsi="Times New Roman" w:eastAsia="仿宋_GB2312" w:cs="Times New Roman"/>
          <w:sz w:val="32"/>
          <w:szCs w:val="32"/>
          <w:lang w:val="en-US" w:eastAsia="zh-CN"/>
        </w:rPr>
        <w:t>、</w:t>
      </w:r>
      <w:r>
        <w:rPr>
          <w:rFonts w:hint="eastAsia" w:ascii="仿宋_GB2312" w:eastAsia="仿宋_GB2312" w:cs="Times New Roman"/>
          <w:sz w:val="32"/>
          <w:szCs w:val="32"/>
          <w:lang w:val="en-US" w:eastAsia="zh-CN"/>
        </w:rPr>
        <w:t>项目绩效目标公开</w:t>
      </w:r>
      <w:r>
        <w:rPr>
          <w:rFonts w:hint="eastAsia" w:ascii="仿宋_GB2312" w:hAnsi="Times New Roman" w:eastAsia="仿宋_GB2312" w:cs="Times New Roman"/>
          <w:sz w:val="32"/>
          <w:szCs w:val="32"/>
          <w:lang w:val="en-US" w:eastAsia="zh-CN"/>
        </w:rPr>
        <w:t>表（表</w:t>
      </w:r>
      <w:r>
        <w:rPr>
          <w:rFonts w:hint="eastAsia" w:ascii="仿宋_GB2312" w:eastAsia="仿宋_GB2312" w:cs="Times New Roman"/>
          <w:sz w:val="32"/>
          <w:szCs w:val="32"/>
          <w:lang w:val="en-US" w:eastAsia="zh-CN"/>
        </w:rPr>
        <w:t>10</w:t>
      </w:r>
      <w:r>
        <w:rPr>
          <w:rFonts w:hint="eastAsia" w:ascii="仿宋_GB2312"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上述报表详见附件。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4B49B4"/>
    <w:rsid w:val="01710B24"/>
    <w:rsid w:val="026C3AC4"/>
    <w:rsid w:val="02B45C82"/>
    <w:rsid w:val="02CA4CDB"/>
    <w:rsid w:val="03C044D3"/>
    <w:rsid w:val="043E3D68"/>
    <w:rsid w:val="05A472DC"/>
    <w:rsid w:val="06276075"/>
    <w:rsid w:val="06FE599C"/>
    <w:rsid w:val="07761A22"/>
    <w:rsid w:val="08160C9C"/>
    <w:rsid w:val="086169C6"/>
    <w:rsid w:val="09B91F84"/>
    <w:rsid w:val="0A4B49B4"/>
    <w:rsid w:val="0BE66DBF"/>
    <w:rsid w:val="0C3512B2"/>
    <w:rsid w:val="0F527130"/>
    <w:rsid w:val="11F0028F"/>
    <w:rsid w:val="11FA0A52"/>
    <w:rsid w:val="138358A5"/>
    <w:rsid w:val="14755A43"/>
    <w:rsid w:val="15AA5E00"/>
    <w:rsid w:val="181A306C"/>
    <w:rsid w:val="18552337"/>
    <w:rsid w:val="1A9400BF"/>
    <w:rsid w:val="1B9E69CC"/>
    <w:rsid w:val="2481444E"/>
    <w:rsid w:val="24AD0891"/>
    <w:rsid w:val="288A7A5D"/>
    <w:rsid w:val="2BDB42D3"/>
    <w:rsid w:val="2E8D0CF3"/>
    <w:rsid w:val="2EA006D4"/>
    <w:rsid w:val="329175FA"/>
    <w:rsid w:val="34E25297"/>
    <w:rsid w:val="350D1B5A"/>
    <w:rsid w:val="35B27480"/>
    <w:rsid w:val="35DF79E0"/>
    <w:rsid w:val="364D11AF"/>
    <w:rsid w:val="383D3BD3"/>
    <w:rsid w:val="3A44036E"/>
    <w:rsid w:val="3AF374DA"/>
    <w:rsid w:val="3B664D4A"/>
    <w:rsid w:val="3D361132"/>
    <w:rsid w:val="3D54588C"/>
    <w:rsid w:val="3DF70EE3"/>
    <w:rsid w:val="3EFF6BE9"/>
    <w:rsid w:val="3FAD347D"/>
    <w:rsid w:val="3FB31299"/>
    <w:rsid w:val="41197A4B"/>
    <w:rsid w:val="41B40CCE"/>
    <w:rsid w:val="42A03D9E"/>
    <w:rsid w:val="42A813B5"/>
    <w:rsid w:val="46031C72"/>
    <w:rsid w:val="480751E6"/>
    <w:rsid w:val="4AB35459"/>
    <w:rsid w:val="4C5D2125"/>
    <w:rsid w:val="4D936498"/>
    <w:rsid w:val="4EBA3C3B"/>
    <w:rsid w:val="50073CE7"/>
    <w:rsid w:val="50595BF7"/>
    <w:rsid w:val="51FF01DC"/>
    <w:rsid w:val="528D561B"/>
    <w:rsid w:val="52B47777"/>
    <w:rsid w:val="53AF08D6"/>
    <w:rsid w:val="54386436"/>
    <w:rsid w:val="54E4217E"/>
    <w:rsid w:val="571E5493"/>
    <w:rsid w:val="57402B88"/>
    <w:rsid w:val="58AE64D9"/>
    <w:rsid w:val="5A633FA5"/>
    <w:rsid w:val="5BAC34F5"/>
    <w:rsid w:val="610D63A7"/>
    <w:rsid w:val="62753E81"/>
    <w:rsid w:val="633604BC"/>
    <w:rsid w:val="63545427"/>
    <w:rsid w:val="63D14D51"/>
    <w:rsid w:val="63FE46E0"/>
    <w:rsid w:val="649330D7"/>
    <w:rsid w:val="64C06FBD"/>
    <w:rsid w:val="67AE50E4"/>
    <w:rsid w:val="69B10ED7"/>
    <w:rsid w:val="69B32C4E"/>
    <w:rsid w:val="6B0D3D84"/>
    <w:rsid w:val="6BB76966"/>
    <w:rsid w:val="6E495433"/>
    <w:rsid w:val="6E6B0CEA"/>
    <w:rsid w:val="6E7F6797"/>
    <w:rsid w:val="6FE54A78"/>
    <w:rsid w:val="702038BB"/>
    <w:rsid w:val="713959BF"/>
    <w:rsid w:val="71C77B7F"/>
    <w:rsid w:val="766D28ED"/>
    <w:rsid w:val="78D31367"/>
    <w:rsid w:val="7AAF380F"/>
    <w:rsid w:val="7AC97467"/>
    <w:rsid w:val="7BA01096"/>
    <w:rsid w:val="7BD93CCB"/>
    <w:rsid w:val="7C6A1F12"/>
    <w:rsid w:val="7EC55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2025-03-20T03:54:00Z</dcterms:created>
  <dc:creator>西早双木</dc:creator>
  <cp:lastModifiedBy>Administrator</cp:lastModifiedBy>
  <dcterms:modified xsi:type="dcterms:W3CDTF">2026-02-28T01:34:35Z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9762103C4BF44CE4B849FCD8E3E9D335</vt:lpwstr>
  </property>
</Properties>
</file>