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桂林</w:t>
      </w:r>
      <w:r>
        <w:rPr>
          <w:rFonts w:hint="eastAsia" w:ascii="方正小标宋简体" w:hAnsi="宋体" w:eastAsia="方正小标宋简体" w:cs="宋体"/>
          <w:sz w:val="36"/>
          <w:szCs w:val="44"/>
          <w:lang w:eastAsia="zh-CN"/>
        </w:rPr>
        <w:t>市</w:t>
      </w:r>
      <w:r>
        <w:rPr>
          <w:rFonts w:hint="eastAsia" w:ascii="方正小标宋简体" w:hAnsi="宋体" w:eastAsia="方正小标宋简体" w:cs="宋体"/>
          <w:sz w:val="36"/>
          <w:szCs w:val="44"/>
        </w:rPr>
        <w:t>七星区科技企业发展中心在编制人员工资及福利项目202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22"/>
          <w:lang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22"/>
          <w:lang w:val="en-US" w:eastAsia="zh-CN" w:bidi="ar"/>
        </w:rPr>
        <w:t>桂林市七星区科技企业发展中心（以下简称“中心”）成立于1998年（发展历程附件1），</w:t>
      </w:r>
      <w:r>
        <w:rPr>
          <w:rFonts w:hint="eastAsia" w:ascii="仿宋" w:hAnsi="仿宋" w:eastAsia="仿宋" w:cs="仿宋"/>
          <w:kern w:val="0"/>
          <w:sz w:val="32"/>
          <w:szCs w:val="22"/>
          <w:lang w:eastAsia="zh-CN" w:bidi="ar"/>
        </w:rPr>
        <w:t>是专为中小型科技企业提供创业服务的综合性孵化器，中心主要负责园区招商、企业孵化等（职能部门机构图附</w:t>
      </w:r>
      <w:r>
        <w:rPr>
          <w:rFonts w:hint="eastAsia" w:ascii="仿宋" w:hAnsi="仿宋" w:eastAsia="仿宋" w:cs="仿宋"/>
          <w:kern w:val="0"/>
          <w:sz w:val="32"/>
          <w:szCs w:val="22"/>
          <w:lang w:val="en-US" w:eastAsia="zh-CN" w:bidi="ar"/>
        </w:rPr>
        <w:t>2</w:t>
      </w:r>
      <w:r>
        <w:rPr>
          <w:rFonts w:hint="eastAsia" w:ascii="仿宋" w:hAnsi="仿宋" w:eastAsia="仿宋" w:cs="仿宋"/>
          <w:kern w:val="0"/>
          <w:sz w:val="32"/>
          <w:szCs w:val="22"/>
          <w:lang w:eastAsia="zh-CN" w:bidi="ar"/>
        </w:rPr>
        <w:t>）），可为企业提供项目申报、贷款扶持、公共技术、人才招聘、资源对接等服务</w:t>
      </w:r>
      <w:r>
        <w:rPr>
          <w:rFonts w:hint="eastAsia" w:ascii="仿宋" w:hAnsi="仿宋" w:eastAsia="仿宋" w:cs="仿宋"/>
          <w:kern w:val="0"/>
          <w:sz w:val="32"/>
          <w:szCs w:val="22"/>
          <w:lang w:val="en-US" w:eastAsia="zh-CN" w:bidi="ar"/>
        </w:rPr>
        <w:t>。</w:t>
      </w:r>
      <w:r>
        <w:rPr>
          <w:rFonts w:hint="eastAsia" w:ascii="仿宋" w:hAnsi="仿宋" w:eastAsia="仿宋" w:cs="仿宋"/>
          <w:kern w:val="0"/>
          <w:sz w:val="32"/>
          <w:szCs w:val="22"/>
          <w:lang w:eastAsia="zh-CN" w:bidi="ar"/>
        </w:rPr>
        <w:t>目前在园企业近</w:t>
      </w:r>
      <w:r>
        <w:rPr>
          <w:rFonts w:hint="eastAsia" w:ascii="仿宋" w:hAnsi="仿宋" w:eastAsia="仿宋" w:cs="仿宋"/>
          <w:kern w:val="0"/>
          <w:sz w:val="32"/>
          <w:szCs w:val="22"/>
          <w:lang w:val="en-US" w:eastAsia="zh-CN" w:bidi="ar"/>
        </w:rPr>
        <w:t>400</w:t>
      </w:r>
      <w:r>
        <w:rPr>
          <w:rFonts w:hint="eastAsia" w:ascii="仿宋" w:hAnsi="仿宋" w:eastAsia="仿宋" w:cs="仿宋"/>
          <w:kern w:val="0"/>
          <w:sz w:val="32"/>
          <w:szCs w:val="22"/>
          <w:lang w:eastAsia="zh-CN" w:bidi="ar"/>
        </w:rPr>
        <w:t>家，202</w:t>
      </w:r>
      <w:r>
        <w:rPr>
          <w:rFonts w:hint="eastAsia" w:ascii="仿宋" w:hAnsi="仿宋" w:eastAsia="仿宋" w:cs="仿宋"/>
          <w:kern w:val="0"/>
          <w:sz w:val="32"/>
          <w:szCs w:val="22"/>
          <w:lang w:val="en-US" w:eastAsia="zh-CN" w:bidi="ar"/>
        </w:rPr>
        <w:t>1</w:t>
      </w:r>
      <w:r>
        <w:rPr>
          <w:rFonts w:hint="eastAsia" w:ascii="仿宋" w:hAnsi="仿宋" w:eastAsia="仿宋" w:cs="仿宋"/>
          <w:kern w:val="0"/>
          <w:sz w:val="32"/>
          <w:szCs w:val="22"/>
          <w:lang w:eastAsia="zh-CN" w:bidi="ar"/>
        </w:rPr>
        <w:t>年全年新入园企业</w:t>
      </w:r>
      <w:r>
        <w:rPr>
          <w:rFonts w:hint="eastAsia" w:ascii="仿宋" w:hAnsi="仿宋" w:eastAsia="仿宋" w:cs="仿宋"/>
          <w:kern w:val="0"/>
          <w:sz w:val="32"/>
          <w:szCs w:val="22"/>
          <w:lang w:val="en-US" w:eastAsia="zh-CN" w:bidi="ar"/>
        </w:rPr>
        <w:t>60余</w:t>
      </w:r>
      <w:r>
        <w:rPr>
          <w:rFonts w:hint="eastAsia" w:ascii="仿宋" w:hAnsi="仿宋" w:eastAsia="仿宋" w:cs="仿宋"/>
          <w:kern w:val="0"/>
          <w:sz w:val="32"/>
          <w:szCs w:val="22"/>
          <w:lang w:eastAsia="zh-CN" w:bidi="ar"/>
        </w:rPr>
        <w:t>家，入驻企业年度总产值超20亿元、利税近6000万元。中心累计培育规模以上企业35家，约占高新区规模企业数的52%，形成了电子信息、生物医药、光机电、新材料、文化创意等五大支柱产业。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22"/>
          <w:lang w:val="en-US" w:eastAsia="zh-CN" w:bidi="ar"/>
        </w:rPr>
        <w:t>中心现有员工27人，大部分拥有大专以上学历和孵化器从业资格证书，具有较为丰富的招商、企业孵化服务及管理经验，其中9名为事业单位编制人员（有4人即将退休）。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我单位在编制人员工资及福利项目202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109.7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1.中央补助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万元，中央单位202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2.地方补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（1）自治区资金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（2）市级资金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（3）区本级安排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109.7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109.7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万元，当年追加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3.其他资金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）中央结转资金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万元，，中央单位以前年度拨付单位往来资金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）自治区结转资金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万元，，自治区单位以前年度拨付单位往来资金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）市级结转资金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万元，，市级单位以前年度拨付单位往来资金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）本级结转资金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万元，存量资金安排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及时足额支付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9名编制工资、五险一金等福利，做好编制人员的管理工作，保障日常工作正常开展，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年的绩效目标是：支付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编制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人员工资及福利。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Cs/>
          <w:sz w:val="32"/>
          <w:szCs w:val="32"/>
        </w:rPr>
        <w:t>、绩效目标实现情况分析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编制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人员工资及福利到位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109.7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项目资金执行情况分析。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自预算下达后，所有资金已经全部及时的安排到位，实际支出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109.7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严格按照相应的业务管理制度，规范各项经费的开支，资金使用规范，孵化国家财经法规和财务管理以及有关专项资金管理办法的规定；资金拨付有完成的审批程序和手续；不存在截留、挤用、占用、挪用、虚列支出等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为单位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编制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年的工资及社保福利费支出。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均在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年12月31日之前支出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）为做好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编制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人员的管理工做，保证日常工作正常开展。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80%以上的编制人员对工资发放满意。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效益指标完成情况分析。</w:t>
      </w:r>
    </w:p>
    <w:p>
      <w:pPr>
        <w:numPr>
          <w:numId w:val="0"/>
        </w:numPr>
        <w:spacing w:line="560" w:lineRule="exac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该项目达到了预期的目标，编制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人员的工作保证了日常工作的正常有序开展。</w:t>
      </w:r>
    </w:p>
    <w:p>
      <w:pPr>
        <w:numPr>
          <w:numId w:val="0"/>
        </w:numPr>
        <w:spacing w:line="560" w:lineRule="exact"/>
        <w:rPr>
          <w:rFonts w:hint="eastAsia"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自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年以来，我单位对全部项目的实施和整体社会效益及满意度等各项指标，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职工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对项目实施的满意度达9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%，达到了预期效果。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B3B770"/>
    <w:multiLevelType w:val="singleLevel"/>
    <w:tmpl w:val="E8B3B77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72E8521"/>
    <w:multiLevelType w:val="singleLevel"/>
    <w:tmpl w:val="672E852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1B5D5D22"/>
    <w:rsid w:val="3A097A70"/>
    <w:rsid w:val="54FD2DB1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944</Words>
  <Characters>1013</Characters>
  <Lines>0</Lines>
  <Paragraphs>0</Paragraphs>
  <TotalTime>1</TotalTime>
  <ScaleCrop>false</ScaleCrop>
  <LinksUpToDate>false</LinksUpToDate>
  <CharactersWithSpaces>1019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2022-06-21T02:26:43Z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B0BA4403E64A4692B0492D1F04E413AA</vt:lpwstr>
  </property>
</Properties>
</file>