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桂林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市</w:t>
      </w:r>
      <w:r>
        <w:rPr>
          <w:rFonts w:hint="eastAsia" w:ascii="方正小标宋简体" w:hAnsi="宋体" w:eastAsia="方正小标宋简体" w:cs="宋体"/>
          <w:sz w:val="36"/>
          <w:szCs w:val="44"/>
        </w:rPr>
        <w:t>七星区科技企业发展中心</w:t>
      </w:r>
      <w:r>
        <w:rPr>
          <w:rFonts w:hint="eastAsia" w:ascii="方正小标宋简体" w:hAnsi="宋体" w:eastAsia="方正小标宋简体" w:cs="宋体"/>
          <w:sz w:val="36"/>
          <w:szCs w:val="44"/>
          <w:lang w:eastAsia="zh-CN"/>
        </w:rPr>
        <w:t>创意大厦电费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我单位创意大厦电费项目202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76.12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1.中央补助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万元，中央单位202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2.地方补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（1）自治区资金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（2）市级资金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年结算补助资金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万元，自治区单位202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年直接拨付单位往来资金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（3）区本级安排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76.12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76.12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万元，当年追加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3.其他资金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）中央结转资金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万元，，中央单位以前年度拨付单位往来资金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）自治区结转资金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万元，，自治区单位以前年度拨付单位往来资金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）市级结转资金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万元，，市级单位以前年度拨付单位往来资金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）本级结转资金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万元，其中：以前年度权责发生制列支资金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万元，存量资金安排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万元，未列支结转资金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创意大厦为高新区管委会及各级政府、部门、机构办公地，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确保创意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大厦用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电正常，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让窗口单位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更好的开展业务。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根据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供电局提供每月的供电缴费通知单，来支付大厦的电费。也会根据每年的用电量来预估下年的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用电情况，来制定相应的用电计划，不可预见的一些因素也会照成用电量减增。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</w:rPr>
        <w:t>、绩效目标实现情况分析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创意大厦电费到位76.12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万元，全部为创意大厦电费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项目资金执行情况分析。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自预算下达后，所有资金已经全部及时的安排到位，实际支出76.12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严格按照相应的业务管理制度，规范各项经费的开支，资金使用规范，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资金拨付有完成的审批程序和手续；不存在截留、挤用、占用、挪用、虚列支出等情况。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textAlignment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创意大厦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年度电费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均在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年12月31日之前支出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自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年以来，我单位对全部项目的实施和整体社会效益及满意度等各项指标，群众对项目实施的满意度达95%，达到了预期效果。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E8521"/>
    <w:multiLevelType w:val="singleLevel"/>
    <w:tmpl w:val="672E852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27700DDA"/>
    <w:rsid w:val="3A097A70"/>
    <w:rsid w:val="3C0B468E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924</Words>
  <Characters>995</Characters>
  <Lines>0</Lines>
  <Paragraphs>0</Paragraphs>
  <TotalTime>2</TotalTime>
  <ScaleCrop>false</ScaleCrop>
  <LinksUpToDate>false</LinksUpToDate>
  <CharactersWithSpaces>1000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2022-06-17T07:48:26Z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8121E7C7628742FE84D91E955A6C8D75</vt:lpwstr>
  </property>
</Properties>
</file>