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4</w:t>
      </w:r>
    </w:p>
    <w:tbl>
      <w:tblPr>
        <w:tblStyle w:val="4"/>
        <w:tblW w:w="9080" w:type="dxa"/>
        <w:jc w:val="center"/>
        <w:tblInd w:w="0" w:type="dxa"/>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tblPrEx>
          <w:tblLayout w:type="fixed"/>
          <w:tblCellMar>
            <w:top w:w="0" w:type="dxa"/>
            <w:left w:w="108" w:type="dxa"/>
            <w:bottom w:w="0" w:type="dxa"/>
            <w:right w:w="108" w:type="dxa"/>
          </w:tblCellMar>
        </w:tblPrEx>
        <w:trPr>
          <w:trHeight w:val="454" w:hRule="atLeast"/>
          <w:jc w:val="center"/>
        </w:trPr>
        <w:tc>
          <w:tcPr>
            <w:tcW w:w="9080" w:type="dxa"/>
            <w:gridSpan w:val="14"/>
            <w:vAlign w:val="center"/>
          </w:tcPr>
          <w:p>
            <w:pPr>
              <w:widowControl/>
              <w:spacing w:line="320" w:lineRule="exact"/>
              <w:jc w:val="center"/>
              <w:rPr>
                <w:rFonts w:eastAsia="方正小标宋简体"/>
                <w:bCs/>
                <w:kern w:val="0"/>
                <w:sz w:val="32"/>
                <w:szCs w:val="32"/>
              </w:rPr>
            </w:pPr>
            <w:r>
              <w:rPr>
                <w:rFonts w:eastAsia="方正小标宋简体"/>
                <w:bCs/>
                <w:kern w:val="0"/>
                <w:sz w:val="32"/>
                <w:szCs w:val="32"/>
              </w:rPr>
              <w:t>项目支出绩效自评表</w:t>
            </w:r>
          </w:p>
        </w:tc>
      </w:tr>
      <w:tr>
        <w:tblPrEx>
          <w:tblLayout w:type="fixed"/>
          <w:tblCellMar>
            <w:top w:w="0" w:type="dxa"/>
            <w:left w:w="108" w:type="dxa"/>
            <w:bottom w:w="0" w:type="dxa"/>
            <w:right w:w="108" w:type="dxa"/>
          </w:tblCellMar>
        </w:tblPrEx>
        <w:trPr>
          <w:trHeight w:val="201" w:hRule="atLeast"/>
          <w:jc w:val="center"/>
        </w:trPr>
        <w:tc>
          <w:tcPr>
            <w:tcW w:w="9080" w:type="dxa"/>
            <w:gridSpan w:val="14"/>
            <w:vAlign w:val="top"/>
          </w:tcPr>
          <w:p>
            <w:pPr>
              <w:widowControl/>
              <w:jc w:val="center"/>
              <w:rPr>
                <w:rFonts w:eastAsia="楷体_GB2312"/>
                <w:kern w:val="0"/>
                <w:sz w:val="22"/>
                <w:szCs w:val="22"/>
              </w:rPr>
            </w:pPr>
            <w:r>
              <w:rPr>
                <w:rFonts w:eastAsia="楷体_GB2312"/>
                <w:kern w:val="0"/>
                <w:sz w:val="22"/>
                <w:szCs w:val="22"/>
              </w:rPr>
              <w:t>（</w:t>
            </w:r>
            <w:r>
              <w:rPr>
                <w:rFonts w:hint="eastAsia" w:eastAsia="楷体_GB2312"/>
                <w:kern w:val="0"/>
                <w:sz w:val="22"/>
                <w:szCs w:val="22"/>
                <w:lang w:val="en-US" w:eastAsia="zh-CN"/>
              </w:rPr>
              <w:t>2021</w:t>
            </w:r>
            <w:r>
              <w:rPr>
                <w:rFonts w:eastAsia="楷体_GB2312"/>
                <w:kern w:val="0"/>
                <w:sz w:val="22"/>
                <w:szCs w:val="22"/>
              </w:rPr>
              <w:t>年度）</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黑体"/>
                <w:kern w:val="0"/>
                <w:sz w:val="18"/>
                <w:szCs w:val="18"/>
              </w:rPr>
            </w:pPr>
            <w:r>
              <w:rPr>
                <w:rFonts w:hAnsi="黑体" w:eastAsia="黑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vAlign w:val="center"/>
          </w:tcPr>
          <w:p>
            <w:pPr>
              <w:widowControl/>
              <w:spacing w:line="240" w:lineRule="exact"/>
              <w:rPr>
                <w:rFonts w:eastAsia="仿宋_GB2312"/>
                <w:kern w:val="0"/>
                <w:sz w:val="18"/>
                <w:szCs w:val="18"/>
              </w:rPr>
            </w:pPr>
            <w:r>
              <w:rPr>
                <w:rFonts w:hint="eastAsia" w:eastAsia="仿宋_GB2312"/>
                <w:kern w:val="0"/>
                <w:sz w:val="18"/>
                <w:szCs w:val="18"/>
                <w:lang w:val="en-US" w:eastAsia="zh-CN"/>
              </w:rPr>
              <w:t>购买社区卫生服务机构基本医疗服务定额补助</w:t>
            </w:r>
          </w:p>
        </w:tc>
      </w:tr>
      <w:tr>
        <w:tblPrEx>
          <w:tblLayout w:type="fixed"/>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Ansi="黑体" w:eastAsia="黑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eastAsia="仿宋_GB2312"/>
                <w:kern w:val="0"/>
                <w:sz w:val="18"/>
                <w:szCs w:val="18"/>
                <w:lang w:val="en-US" w:eastAsia="zh-CN"/>
              </w:rPr>
            </w:pPr>
            <w:r>
              <w:rPr>
                <w:rFonts w:hint="eastAsia" w:eastAsia="仿宋_GB2312"/>
                <w:kern w:val="0"/>
                <w:sz w:val="18"/>
                <w:szCs w:val="18"/>
                <w:lang w:val="en-US" w:eastAsia="zh-CN"/>
              </w:rPr>
              <w:t>桂林市七星区卫生健康局</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黑体"/>
                <w:kern w:val="0"/>
                <w:sz w:val="18"/>
                <w:szCs w:val="18"/>
              </w:rPr>
            </w:pPr>
            <w:r>
              <w:rPr>
                <w:rFonts w:hAnsi="黑体" w:eastAsia="黑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vAlign w:val="center"/>
          </w:tcPr>
          <w:p>
            <w:pPr>
              <w:widowControl/>
              <w:spacing w:line="240" w:lineRule="exact"/>
              <w:rPr>
                <w:rFonts w:hint="eastAsia" w:eastAsia="仿宋_GB2312"/>
                <w:kern w:val="0"/>
                <w:sz w:val="18"/>
                <w:szCs w:val="18"/>
                <w:lang w:val="en-US" w:eastAsia="zh-CN"/>
              </w:rPr>
            </w:pPr>
            <w:r>
              <w:rPr>
                <w:rFonts w:hint="eastAsia" w:eastAsia="仿宋_GB2312"/>
                <w:kern w:val="0"/>
                <w:sz w:val="18"/>
                <w:szCs w:val="18"/>
                <w:lang w:val="en-US" w:eastAsia="zh-CN"/>
              </w:rPr>
              <w:t>桂林市七星区卫生健康局</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Ansi="黑体" w:eastAsia="黑体"/>
                <w:kern w:val="0"/>
                <w:sz w:val="18"/>
                <w:szCs w:val="18"/>
              </w:rPr>
              <w:t>项目资金</w:t>
            </w:r>
            <w:r>
              <w:rPr>
                <w:rFonts w:eastAsia="黑体"/>
                <w:kern w:val="0"/>
                <w:sz w:val="18"/>
                <w:szCs w:val="18"/>
              </w:rPr>
              <w:br w:type="textWrapping"/>
            </w:r>
            <w:r>
              <w:rPr>
                <w:rFonts w:hAnsi="黑体" w:eastAsia="黑体"/>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年初预算数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全年预算数</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全年执行数</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执行率</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得分</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eastAsia="仿宋_GB2312"/>
                <w:kern w:val="0"/>
                <w:sz w:val="18"/>
                <w:szCs w:val="18"/>
              </w:rPr>
            </w:pPr>
            <w:r>
              <w:rPr>
                <w:rFonts w:eastAsia="仿宋_GB2312"/>
                <w:kern w:val="0"/>
                <w:sz w:val="18"/>
                <w:szCs w:val="18"/>
              </w:rPr>
              <w:t>年度资金总额</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ascii="宋体" w:hAnsi="宋体" w:cs="宋体"/>
                <w:kern w:val="0"/>
                <w:sz w:val="22"/>
                <w:szCs w:val="22"/>
                <w:lang w:val="en-US" w:eastAsia="zh-CN"/>
              </w:rPr>
              <w:t>124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ascii="宋体" w:hAnsi="宋体" w:cs="宋体"/>
                <w:kern w:val="0"/>
                <w:sz w:val="22"/>
                <w:szCs w:val="22"/>
                <w:lang w:val="en-US" w:eastAsia="zh-CN"/>
              </w:rPr>
              <w:t>124</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100%</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10</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其中：当年财政拨款</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ascii="宋体" w:hAnsi="宋体" w:cs="宋体"/>
                <w:kern w:val="0"/>
                <w:sz w:val="22"/>
                <w:szCs w:val="22"/>
                <w:lang w:val="en-US" w:eastAsia="zh-CN"/>
              </w:rPr>
              <w:t>124</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xml:space="preserve">      上年结转资金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 xml:space="preserve">  其他资金</w:t>
            </w:r>
          </w:p>
        </w:tc>
        <w:tc>
          <w:tcPr>
            <w:tcW w:w="1134"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w:t>
            </w:r>
          </w:p>
        </w:tc>
      </w:tr>
      <w:tr>
        <w:tblPrEx>
          <w:tblLayout w:type="fixed"/>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eastAsia="黑体"/>
                <w:kern w:val="0"/>
                <w:sz w:val="18"/>
                <w:szCs w:val="18"/>
              </w:rPr>
            </w:pPr>
            <w:r>
              <w:rPr>
                <w:rFonts w:hAnsi="黑体" w:eastAsia="黑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预期目标</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实际完成情况</w:t>
            </w:r>
          </w:p>
        </w:tc>
      </w:tr>
      <w:tr>
        <w:tblPrEx>
          <w:tblLayout w:type="fixed"/>
          <w:tblCellMar>
            <w:top w:w="0" w:type="dxa"/>
            <w:left w:w="108" w:type="dxa"/>
            <w:bottom w:w="0" w:type="dxa"/>
            <w:right w:w="108" w:type="dxa"/>
          </w:tblCellMar>
        </w:tblPrEx>
        <w:trPr>
          <w:trHeight w:val="597"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5090" w:type="dxa"/>
            <w:gridSpan w:val="6"/>
            <w:tcBorders>
              <w:top w:val="single" w:color="auto" w:sz="4" w:space="0"/>
              <w:left w:val="nil"/>
              <w:bottom w:val="single" w:color="auto" w:sz="4" w:space="0"/>
              <w:right w:val="single" w:color="auto" w:sz="4" w:space="0"/>
            </w:tcBorders>
            <w:vAlign w:val="center"/>
          </w:tcPr>
          <w:p>
            <w:pPr>
              <w:widowControl/>
              <w:spacing w:line="240" w:lineRule="exact"/>
              <w:rPr>
                <w:rFonts w:hint="eastAsia" w:eastAsia="仿宋_GB2312"/>
                <w:kern w:val="0"/>
                <w:sz w:val="18"/>
                <w:szCs w:val="18"/>
                <w:lang w:val="en-US" w:eastAsia="zh-CN"/>
              </w:rPr>
            </w:pPr>
            <w:r>
              <w:rPr>
                <w:rFonts w:hint="eastAsia" w:eastAsia="仿宋_GB2312"/>
                <w:kern w:val="0"/>
                <w:sz w:val="18"/>
                <w:szCs w:val="18"/>
                <w:lang w:val="en-US" w:eastAsia="zh-CN"/>
              </w:rPr>
              <w:t>对市本级及城区的乡镇卫生院符合条件人员，按年人均0.5万元的标准给予补助</w:t>
            </w:r>
          </w:p>
        </w:tc>
        <w:tc>
          <w:tcPr>
            <w:tcW w:w="3402"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eastAsia="宋体"/>
                <w:kern w:val="0"/>
                <w:sz w:val="18"/>
                <w:szCs w:val="18"/>
                <w:lang w:eastAsia="zh-CN"/>
              </w:rPr>
            </w:pPr>
            <w:r>
              <w:rPr>
                <w:rFonts w:hint="eastAsia"/>
                <w:kern w:val="0"/>
                <w:sz w:val="18"/>
                <w:szCs w:val="18"/>
                <w:lang w:eastAsia="zh-CN"/>
              </w:rPr>
              <w:t>完成</w:t>
            </w:r>
          </w:p>
        </w:tc>
      </w:tr>
      <w:tr>
        <w:tblPrEx>
          <w:tblLayout w:type="fixed"/>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hAnsi="黑体" w:eastAsia="黑体"/>
                <w:kern w:val="0"/>
                <w:sz w:val="18"/>
                <w:szCs w:val="18"/>
              </w:rPr>
              <w:t>绩</w:t>
            </w:r>
            <w:r>
              <w:rPr>
                <w:rFonts w:eastAsia="黑体"/>
                <w:kern w:val="0"/>
                <w:sz w:val="18"/>
                <w:szCs w:val="18"/>
              </w:rPr>
              <w:br w:type="textWrapping"/>
            </w:r>
            <w:r>
              <w:rPr>
                <w:rFonts w:hAnsi="黑体" w:eastAsia="黑体"/>
                <w:kern w:val="0"/>
                <w:sz w:val="18"/>
                <w:szCs w:val="18"/>
              </w:rPr>
              <w:t>效</w:t>
            </w:r>
            <w:r>
              <w:rPr>
                <w:rFonts w:eastAsia="黑体"/>
                <w:kern w:val="0"/>
                <w:sz w:val="18"/>
                <w:szCs w:val="18"/>
              </w:rPr>
              <w:br w:type="textWrapping"/>
            </w:r>
            <w:r>
              <w:rPr>
                <w:rFonts w:hAnsi="黑体" w:eastAsia="黑体"/>
                <w:kern w:val="0"/>
                <w:sz w:val="18"/>
                <w:szCs w:val="18"/>
              </w:rPr>
              <w:t>指</w:t>
            </w:r>
            <w:r>
              <w:rPr>
                <w:rFonts w:eastAsia="黑体"/>
                <w:kern w:val="0"/>
                <w:sz w:val="18"/>
                <w:szCs w:val="18"/>
              </w:rPr>
              <w:br w:type="textWrapping"/>
            </w:r>
            <w:r>
              <w:rPr>
                <w:rFonts w:hAnsi="黑体" w:eastAsia="黑体"/>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二级指标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三级指标</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年度</w:t>
            </w:r>
          </w:p>
          <w:p>
            <w:pPr>
              <w:widowControl/>
              <w:spacing w:line="240" w:lineRule="exact"/>
              <w:jc w:val="center"/>
              <w:rPr>
                <w:rFonts w:eastAsia="楷体_GB2312"/>
                <w:kern w:val="0"/>
                <w:sz w:val="18"/>
                <w:szCs w:val="18"/>
              </w:rPr>
            </w:pPr>
            <w:r>
              <w:rPr>
                <w:rFonts w:eastAsia="楷体_GB2312"/>
                <w:kern w:val="0"/>
                <w:sz w:val="18"/>
                <w:szCs w:val="18"/>
              </w:rPr>
              <w:t>指标值</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实际</w:t>
            </w:r>
          </w:p>
          <w:p>
            <w:pPr>
              <w:widowControl/>
              <w:spacing w:line="240" w:lineRule="exact"/>
              <w:jc w:val="center"/>
              <w:rPr>
                <w:rFonts w:eastAsia="楷体_GB2312"/>
                <w:kern w:val="0"/>
                <w:sz w:val="18"/>
                <w:szCs w:val="18"/>
              </w:rPr>
            </w:pPr>
            <w:r>
              <w:rPr>
                <w:rFonts w:eastAsia="楷体_GB2312"/>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得分</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偏差原因分析及改进措施</w:t>
            </w:r>
          </w:p>
        </w:tc>
      </w:tr>
      <w:tr>
        <w:tblPrEx>
          <w:tblLayout w:type="fixed"/>
          <w:tblCellMar>
            <w:top w:w="0" w:type="dxa"/>
            <w:left w:w="108" w:type="dxa"/>
            <w:bottom w:w="0" w:type="dxa"/>
            <w:right w:w="108" w:type="dxa"/>
          </w:tblCellMar>
        </w:tblPrEx>
        <w:trPr>
          <w:trHeight w:val="126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bookmarkStart w:id="0" w:name="_GoBack" w:colFirst="7" w:colLast="7"/>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产出指标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数量指标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eastAsia="仿宋_GB2312"/>
                <w:kern w:val="0"/>
                <w:sz w:val="18"/>
                <w:szCs w:val="18"/>
              </w:rPr>
            </w:pPr>
            <w:r>
              <w:rPr>
                <w:rFonts w:hint="eastAsia" w:eastAsia="仿宋_GB2312"/>
                <w:kern w:val="0"/>
                <w:sz w:val="18"/>
                <w:szCs w:val="18"/>
                <w:lang w:val="en-US" w:eastAsia="zh-CN"/>
              </w:rPr>
              <w:t>按2020年底乡镇卫生院编制内实有在职人员和控制数以内的后勤服务聘用人员总数100%进行补助</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124人</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124人</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r>
      <w:tr>
        <w:tblPrEx>
          <w:tblLayout w:type="fixed"/>
          <w:tblCellMar>
            <w:top w:w="0" w:type="dxa"/>
            <w:left w:w="108" w:type="dxa"/>
            <w:bottom w:w="0" w:type="dxa"/>
            <w:right w:w="108" w:type="dxa"/>
          </w:tblCellMar>
        </w:tblPrEx>
        <w:trPr>
          <w:trHeight w:val="80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质量指标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eastAsia="仿宋_GB2312"/>
                <w:kern w:val="0"/>
                <w:sz w:val="18"/>
                <w:szCs w:val="18"/>
              </w:rPr>
            </w:pPr>
            <w:r>
              <w:rPr>
                <w:rFonts w:hint="eastAsia" w:eastAsia="仿宋_GB2312"/>
                <w:kern w:val="0"/>
                <w:sz w:val="18"/>
                <w:szCs w:val="18"/>
                <w:lang w:eastAsia="zh-CN"/>
              </w:rPr>
              <w:t>对乡镇卫生院符合条件人员给予补助后生活条件</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较上年进一步改善</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较上年进一步改善</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r>
      <w:tr>
        <w:tblPrEx>
          <w:tblLayout w:type="fixed"/>
          <w:tblCellMar>
            <w:top w:w="0" w:type="dxa"/>
            <w:left w:w="108" w:type="dxa"/>
            <w:bottom w:w="0" w:type="dxa"/>
            <w:right w:w="108" w:type="dxa"/>
          </w:tblCellMar>
        </w:tblPrEx>
        <w:trPr>
          <w:trHeight w:val="69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时效指标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eastAsia="仿宋_GB2312"/>
                <w:kern w:val="0"/>
                <w:sz w:val="18"/>
                <w:szCs w:val="18"/>
              </w:rPr>
            </w:pPr>
            <w:r>
              <w:rPr>
                <w:rFonts w:hint="eastAsia" w:eastAsia="仿宋_GB2312"/>
                <w:kern w:val="0"/>
                <w:sz w:val="18"/>
                <w:szCs w:val="18"/>
                <w:lang w:eastAsia="zh-CN"/>
              </w:rPr>
              <w:t>补助发放时间</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2021年12月前</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eastAsia="zh-CN"/>
              </w:rPr>
              <w:t>完成</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r>
      <w:tr>
        <w:tblPrEx>
          <w:tblLayout w:type="fixed"/>
          <w:tblCellMar>
            <w:top w:w="0" w:type="dxa"/>
            <w:left w:w="108" w:type="dxa"/>
            <w:bottom w:w="0" w:type="dxa"/>
            <w:right w:w="108" w:type="dxa"/>
          </w:tblCellMar>
        </w:tblPrEx>
        <w:trPr>
          <w:trHeight w:val="92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成本指标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eastAsia="zh-CN"/>
              </w:rPr>
              <w:t>城区的乡镇卫生院符合条件人员，按年人均0.5万元的标准给予补助</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2年合计124万</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124万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25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25</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r>
      <w:tr>
        <w:tblPrEx>
          <w:tblLayout w:type="fixed"/>
          <w:tblCellMar>
            <w:top w:w="0" w:type="dxa"/>
            <w:left w:w="108" w:type="dxa"/>
            <w:bottom w:w="0" w:type="dxa"/>
            <w:right w:w="108" w:type="dxa"/>
          </w:tblCellMar>
        </w:tblPrEx>
        <w:trPr>
          <w:trHeight w:val="685"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vAlign w:val="center"/>
          </w:tcPr>
          <w:p>
            <w:pPr>
              <w:widowControl/>
              <w:spacing w:line="240" w:lineRule="exact"/>
              <w:jc w:val="center"/>
              <w:rPr>
                <w:kern w:val="0"/>
                <w:sz w:val="18"/>
                <w:szCs w:val="18"/>
              </w:rPr>
            </w:pPr>
            <w:r>
              <w:rPr>
                <w:rFonts w:eastAsia="楷体_GB2312"/>
                <w:kern w:val="0"/>
                <w:sz w:val="18"/>
                <w:szCs w:val="18"/>
              </w:rPr>
              <w:t>效益指标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经济效益</w:t>
            </w:r>
          </w:p>
          <w:p>
            <w:pPr>
              <w:widowControl/>
              <w:spacing w:line="240" w:lineRule="exact"/>
              <w:jc w:val="center"/>
              <w:rPr>
                <w:rFonts w:eastAsia="仿宋_GB2312"/>
                <w:kern w:val="0"/>
                <w:sz w:val="18"/>
                <w:szCs w:val="18"/>
              </w:rPr>
            </w:pPr>
            <w:r>
              <w:rPr>
                <w:rFonts w:eastAsia="仿宋_GB2312"/>
                <w:kern w:val="0"/>
                <w:sz w:val="18"/>
                <w:szCs w:val="18"/>
              </w:rPr>
              <w:t>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eastAsia="仿宋_GB2312"/>
                <w:kern w:val="0"/>
                <w:sz w:val="18"/>
                <w:szCs w:val="18"/>
              </w:rPr>
            </w:pPr>
            <w:r>
              <w:rPr>
                <w:rFonts w:hint="eastAsia" w:eastAsia="仿宋_GB2312"/>
                <w:kern w:val="0"/>
                <w:sz w:val="18"/>
                <w:szCs w:val="18"/>
                <w:lang w:eastAsia="zh-CN"/>
              </w:rPr>
              <w:t xml:space="preserve"> </w:t>
            </w:r>
            <w:r>
              <w:rPr>
                <w:rFonts w:hint="eastAsia" w:eastAsia="仿宋_GB2312"/>
                <w:kern w:val="0"/>
                <w:sz w:val="18"/>
                <w:szCs w:val="18"/>
                <w:lang w:val="en-US" w:eastAsia="zh-CN"/>
              </w:rPr>
              <w:t>社区卫生服务机构职工收入</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eastAsia="zh-CN"/>
              </w:rPr>
            </w:pPr>
            <w:r>
              <w:rPr>
                <w:rFonts w:hint="eastAsia" w:eastAsia="仿宋_GB2312"/>
                <w:kern w:val="0"/>
                <w:sz w:val="18"/>
                <w:szCs w:val="18"/>
                <w:lang w:eastAsia="zh-CN"/>
              </w:rPr>
              <w:t>提高</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eastAsia="zh-CN"/>
              </w:rPr>
              <w:t>提高</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r>
      <w:tr>
        <w:tblPrEx>
          <w:tblLayout w:type="fixed"/>
          <w:tblCellMar>
            <w:top w:w="0" w:type="dxa"/>
            <w:left w:w="108" w:type="dxa"/>
            <w:bottom w:w="0" w:type="dxa"/>
            <w:right w:w="108" w:type="dxa"/>
          </w:tblCellMar>
        </w:tblPrEx>
        <w:trPr>
          <w:trHeight w:val="820"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jc w:val="left"/>
              <w:rPr>
                <w:kern w:val="0"/>
                <w:sz w:val="18"/>
                <w:szCs w:val="18"/>
              </w:rPr>
            </w:pPr>
          </w:p>
        </w:tc>
        <w:tc>
          <w:tcPr>
            <w:tcW w:w="980"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楷体_GB2312"/>
                <w:kern w:val="0"/>
                <w:sz w:val="18"/>
                <w:szCs w:val="18"/>
              </w:rPr>
            </w:pPr>
            <w:r>
              <w:rPr>
                <w:rFonts w:eastAsia="楷体_GB2312"/>
                <w:kern w:val="0"/>
                <w:sz w:val="18"/>
                <w:szCs w:val="18"/>
              </w:rPr>
              <w:t>满意度</w:t>
            </w:r>
          </w:p>
          <w:p>
            <w:pPr>
              <w:widowControl/>
              <w:spacing w:line="240" w:lineRule="exact"/>
              <w:jc w:val="center"/>
              <w:rPr>
                <w:kern w:val="0"/>
                <w:sz w:val="18"/>
                <w:szCs w:val="18"/>
              </w:rPr>
            </w:pPr>
            <w:r>
              <w:rPr>
                <w:rFonts w:eastAsia="楷体_GB2312"/>
                <w:kern w:val="0"/>
                <w:sz w:val="18"/>
                <w:szCs w:val="18"/>
              </w:rPr>
              <w:t>指标</w:t>
            </w:r>
          </w:p>
        </w:tc>
        <w:tc>
          <w:tcPr>
            <w:tcW w:w="1112"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eastAsia="仿宋_GB2312"/>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vAlign w:val="center"/>
          </w:tcPr>
          <w:p>
            <w:pPr>
              <w:widowControl/>
              <w:spacing w:line="240" w:lineRule="exact"/>
              <w:jc w:val="both"/>
              <w:rPr>
                <w:rFonts w:eastAsia="仿宋_GB2312"/>
                <w:kern w:val="0"/>
                <w:sz w:val="18"/>
                <w:szCs w:val="18"/>
              </w:rPr>
            </w:pPr>
            <w:r>
              <w:rPr>
                <w:rFonts w:hint="eastAsia" w:eastAsia="仿宋_GB2312"/>
                <w:kern w:val="0"/>
                <w:sz w:val="18"/>
                <w:szCs w:val="18"/>
              </w:rPr>
              <w:t xml:space="preserve"> 服务对象满意</w:t>
            </w:r>
          </w:p>
        </w:tc>
        <w:tc>
          <w:tcPr>
            <w:tcW w:w="850"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rPr>
              <w:t>8</w:t>
            </w:r>
            <w:r>
              <w:rPr>
                <w:rFonts w:hint="eastAsia" w:eastAsia="仿宋_GB2312"/>
                <w:kern w:val="0"/>
                <w:sz w:val="18"/>
                <w:szCs w:val="18"/>
                <w:lang w:val="en-US" w:eastAsia="zh-CN"/>
              </w:rPr>
              <w:t>0%</w:t>
            </w:r>
          </w:p>
        </w:tc>
        <w:tc>
          <w:tcPr>
            <w:tcW w:w="851" w:type="dxa"/>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hint="eastAsia" w:eastAsia="仿宋_GB2312"/>
                <w:kern w:val="0"/>
                <w:sz w:val="18"/>
                <w:szCs w:val="18"/>
                <w:lang w:val="en-US" w:eastAsia="zh-CN"/>
              </w:rPr>
            </w:pPr>
            <w:r>
              <w:rPr>
                <w:rFonts w:hint="eastAsia" w:eastAsia="仿宋_GB2312"/>
                <w:kern w:val="0"/>
                <w:sz w:val="18"/>
                <w:szCs w:val="18"/>
                <w:lang w:val="en-US" w:eastAsia="zh-CN"/>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r>
              <w:rPr>
                <w:rFonts w:hint="eastAsia" w:eastAsia="仿宋_GB2312"/>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eastAsia="仿宋_GB2312"/>
                <w:kern w:val="0"/>
                <w:sz w:val="18"/>
                <w:szCs w:val="18"/>
              </w:rPr>
            </w:pPr>
          </w:p>
        </w:tc>
      </w:tr>
      <w:tr>
        <w:tblPrEx>
          <w:tblLayout w:type="fixed"/>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eastAsia="黑体"/>
                <w:color w:val="000000"/>
                <w:kern w:val="0"/>
                <w:sz w:val="18"/>
                <w:szCs w:val="18"/>
              </w:rPr>
            </w:pPr>
            <w:r>
              <w:rPr>
                <w:rFonts w:hAnsi="黑体" w:eastAsia="黑体"/>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color w:val="000000"/>
                <w:kern w:val="0"/>
                <w:sz w:val="18"/>
                <w:szCs w:val="18"/>
              </w:rPr>
            </w:pPr>
            <w:r>
              <w:rPr>
                <w:color w:val="000000"/>
                <w:kern w:val="0"/>
                <w:sz w:val="18"/>
                <w:szCs w:val="18"/>
              </w:rPr>
              <w:t>100</w:t>
            </w:r>
          </w:p>
        </w:tc>
        <w:tc>
          <w:tcPr>
            <w:tcW w:w="141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kern w:val="0"/>
                <w:sz w:val="18"/>
                <w:szCs w:val="18"/>
              </w:rPr>
            </w:pPr>
          </w:p>
        </w:tc>
      </w:tr>
      <w:bookmarkEnd w:id="0"/>
    </w:tbl>
    <w:p>
      <w:pPr>
        <w:widowControl/>
        <w:jc w:val="left"/>
        <w:rPr>
          <w:rFonts w:eastAsia="黑体"/>
        </w:rPr>
        <w:sectPr>
          <w:footerReference r:id="rId3" w:type="default"/>
          <w:footerReference r:id="rId4" w:type="even"/>
          <w:pgSz w:w="11906" w:h="16838"/>
          <w:pgMar w:top="1928" w:right="1531" w:bottom="1701" w:left="1531" w:header="737" w:footer="850" w:gutter="0"/>
          <w:pgNumType w:fmt="numberInDash"/>
          <w:cols w:space="720" w:num="1"/>
          <w:rtlGutter w:val="0"/>
          <w:docGrid w:type="lines" w:linePitch="408" w:charSpace="0"/>
        </w:sect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方正小标宋_GBK">
    <w:altName w:val="微软雅黑"/>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2"/>
      <w:rPr>
        <w:szCs w:val="3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18 -</w:t>
    </w:r>
    <w:r>
      <w:rPr>
        <w:rFonts w:ascii="宋体" w:hAnsi="宋体"/>
        <w:sz w:val="32"/>
        <w:szCs w:val="32"/>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4DD096E"/>
    <w:rsid w:val="21EB38CA"/>
    <w:rsid w:val="2CE97A41"/>
    <w:rsid w:val="44E64061"/>
    <w:rsid w:val="69830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Office_10.8.0.6108_F1E327BC-269C-435d-A152-05C5408002CA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Administrator</cp:lastModifiedBy>
  <dcterms:modified xsi:type="dcterms:W3CDTF">2022-06-22T10:01:46Z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