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  <w:lang w:eastAsia="zh-CN"/>
        </w:rPr>
        <w:t>基本公共卫生服务项目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szCs w:val="30"/>
        </w:rPr>
      </w:pP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widowControl/>
        <w:shd w:val="clear" w:color="auto" w:fill="FFFFFF"/>
        <w:spacing w:line="585" w:lineRule="atLeast"/>
        <w:ind w:firstLine="63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eastAsia="楷体_GB2312"/>
          <w:sz w:val="32"/>
          <w:szCs w:val="32"/>
        </w:rPr>
        <w:t>（一）项目概况。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截止2021年年底，我区常住人口为31.01万人，下辖3个社区卫生服务中心、13个社区卫生服务站以及31个村卫生室。2021年区本级配套基本公卫经费总计114.3万。</w:t>
      </w:r>
    </w:p>
    <w:p>
      <w:pPr>
        <w:widowControl/>
        <w:shd w:val="clear" w:color="auto" w:fill="FFFFFF"/>
        <w:spacing w:line="585" w:lineRule="atLeast"/>
        <w:ind w:firstLine="63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2021年我区已累计建立电子健康档案28.28万份，居民规范化电子健康档案覆盖18.64万人；为2.64万名0-6岁儿童提供免费体检、健康随访等服务及1次以上眼保健和视力检查，3岁以下儿童系统管理1.14万人；开展免疫规划服务，免费接种第一类疫苗，适龄儿童国家免疫规划疫苗接种66400人次，有效防控传染病；为2861产妇提供产后访视服务；为22829名65岁以上老年人开展健康体检；年内管理高血压患者1.6万人，规范化管理13588人，2型糖尿病患者5948人，规范化管理4959人；严重精神障碍患者593人，规范化管理573人；年内为122名肺结核患者每个季度进行一次随访和健康指导；中医体质辨识覆盖2.15万老年人，儿童中医调养指导覆盖1.11万名3岁以下儿童，有效促进中医药服务开展。</w:t>
      </w:r>
    </w:p>
    <w:p>
      <w:pPr>
        <w:widowControl/>
        <w:shd w:val="clear" w:color="auto" w:fill="FFFFFF"/>
        <w:spacing w:line="585" w:lineRule="atLeast"/>
        <w:ind w:firstLine="630"/>
        <w:jc w:val="left"/>
        <w:rPr>
          <w:rFonts w:eastAsia="仿宋_GB231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此外基层医疗卫生机构还相应开展健康讲座、健康教育咨询等健康教育活动；进行传染病及突发公共卫生事件的报告和处理；对饮用水安全、学校卫生等定期开展巡查等卫生计生监督协管工作。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eastAsia="楷体_GB2312"/>
          <w:sz w:val="32"/>
          <w:szCs w:val="32"/>
        </w:rPr>
        <w:t>项目绩效目标</w:t>
      </w:r>
      <w:r>
        <w:rPr>
          <w:rFonts w:hint="eastAsia" w:eastAsia="楷体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免费向居民提供基本公共卫生服务，提高辖区居民健康水平。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adjustRightInd w:val="0"/>
        <w:snapToGrid w:val="0"/>
        <w:spacing w:line="586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由区卫健局组建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督导组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2021年8月16-27日</w:t>
      </w:r>
      <w:r>
        <w:rPr>
          <w:rFonts w:hint="eastAsia" w:ascii="仿宋_GB2312" w:hAnsi="仿宋_GB2312" w:eastAsia="仿宋_GB2312" w:cs="仿宋_GB2312"/>
          <w:sz w:val="32"/>
          <w:szCs w:val="32"/>
        </w:rPr>
        <w:t>对3家中心及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1个</w:t>
      </w:r>
      <w:r>
        <w:rPr>
          <w:rFonts w:hint="eastAsia" w:ascii="仿宋_GB2312" w:hAnsi="仿宋_GB2312" w:eastAsia="仿宋_GB2312" w:cs="仿宋_GB2312"/>
          <w:sz w:val="32"/>
          <w:szCs w:val="32"/>
        </w:rPr>
        <w:t>站（或村卫生室）进行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半年</w:t>
      </w:r>
      <w:r>
        <w:rPr>
          <w:rFonts w:hint="eastAsia" w:ascii="仿宋_GB2312" w:hAnsi="仿宋_GB2312" w:eastAsia="仿宋_GB2312" w:cs="仿宋_GB2312"/>
          <w:sz w:val="32"/>
          <w:szCs w:val="32"/>
        </w:rPr>
        <w:t>督导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2022年1月21日-2月15日对所有社区卫生服务中心和社区卫生服务站进行年终绩效考核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督导内容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包含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基本公共卫</w:t>
      </w:r>
      <w:r>
        <w:rPr>
          <w:rFonts w:hint="eastAsia" w:ascii="仿宋_GB2312" w:hAnsi="仿宋_GB2312" w:eastAsia="仿宋_GB2312" w:cs="仿宋_GB2312"/>
          <w:sz w:val="32"/>
          <w:szCs w:val="32"/>
        </w:rPr>
        <w:t>生服务项目执行情况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家庭医生签约服务情况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、基本药物执行情况、基层疫情防控工作落实情况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eastAsia="仿宋_GB2312"/>
          <w:color w:val="000000"/>
          <w:sz w:val="32"/>
          <w:szCs w:val="32"/>
        </w:rPr>
        <w:t>绩效评价结果，将评价结果与资金拨付挂钩。</w:t>
      </w:r>
    </w:p>
    <w:p>
      <w:pPr>
        <w:adjustRightInd w:val="0"/>
        <w:snapToGrid w:val="0"/>
        <w:spacing w:line="586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七星中心、东江中心、朝阳中心、华侨医院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每季度</w:t>
      </w:r>
      <w:r>
        <w:rPr>
          <w:rFonts w:hint="eastAsia" w:ascii="仿宋_GB2312" w:hAnsi="仿宋_GB2312" w:eastAsia="仿宋_GB2312" w:cs="仿宋_GB2312"/>
          <w:sz w:val="32"/>
          <w:szCs w:val="32"/>
        </w:rPr>
        <w:t>对本机构、所辖社区卫生服务站和村卫生室进行自查，要求所有机构自查全覆盖。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widowControl/>
        <w:numPr>
          <w:ilvl w:val="0"/>
          <w:numId w:val="0"/>
        </w:numPr>
        <w:shd w:val="clear" w:color="auto" w:fill="FFFFFF"/>
        <w:spacing w:line="585" w:lineRule="atLeast"/>
        <w:ind w:firstLine="640" w:firstLineChars="200"/>
        <w:jc w:val="left"/>
        <w:rPr>
          <w:rFonts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2021年我区国家基本公共卫生服务项目原12项项目资金108.535万元于2021年11月全部执行，拨付至各基层医疗机构，资金执行率94.96%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>
      <w:pPr>
        <w:widowControl/>
        <w:shd w:val="clear" w:color="auto" w:fill="FFFFFF"/>
        <w:spacing w:line="585" w:lineRule="atLeast"/>
        <w:ind w:firstLine="63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2021年电子健康档案建档率91.21%，使用率60.08%，居民规范化电子健康档案覆盖率60.13%；各乡镇、街道适龄儿童国家免疫规划疫苗接种率97.61%；0-6岁儿童健康管理率87%；孕妇健康管理率88%；老年人健康管理率70.67%；高血压规范管理率84.69%；2型糖尿病规范管理率83.37%；严重精神障碍患者规范管理率96.63%；肺结核患者管理率100%；老年人中医药健康管理率69.71%，儿童中医药健康管理率92.67%。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五、存在问题</w:t>
      </w:r>
    </w:p>
    <w:p>
      <w:pPr>
        <w:numPr>
          <w:ilvl w:val="0"/>
          <w:numId w:val="0"/>
        </w:numPr>
        <w:adjustRightInd w:val="0"/>
        <w:snapToGrid w:val="0"/>
        <w:spacing w:line="590" w:lineRule="exact"/>
        <w:ind w:firstLine="640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健康档案：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普遍存在“吃老本”现象，新增档案少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、一般人群动态使用率低；健康档案录入系统平台更换频繁，系统各功能、模块操作不熟练。</w:t>
      </w:r>
    </w:p>
    <w:p>
      <w:pPr>
        <w:adjustRightInd w:val="0"/>
        <w:snapToGrid w:val="0"/>
        <w:spacing w:line="59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（二）健康教育：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别机构健康教育音像资料播放记录格式化无法计算播放时长；个体化健康教育多局限于对孕产妇和儿童，其他人群个体化健康教育在门诊日志、病例、接诊记录很少体现；个体化健康教育千篇一律，缺少个体化；健康教育讲座开展不规范，签到表不留联系电话，照片反映培训人数与签到人数严重不符；部分村卫生室开展健康教育次数不达标。</w:t>
      </w:r>
    </w:p>
    <w:p>
      <w:pPr>
        <w:numPr>
          <w:ilvl w:val="0"/>
          <w:numId w:val="0"/>
        </w:numPr>
        <w:spacing w:line="500" w:lineRule="exact"/>
        <w:ind w:right="-218" w:rightChars="-104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（三）慢病管理：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部分机构任务管理数未完成，全年新建档案较少；血压血糖控制率虚高；存在随访不真实现象，主要是药物和生活方式，抽烟，喝酒，运动等。</w:t>
      </w:r>
    </w:p>
    <w:p>
      <w:pPr>
        <w:numPr>
          <w:ilvl w:val="0"/>
          <w:numId w:val="0"/>
        </w:numPr>
        <w:adjustRightInd w:val="0"/>
        <w:snapToGrid w:val="0"/>
        <w:spacing w:line="59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（四）严重精神障碍患者管理：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患病报告率远低于国家标准；各机构对系统流转病人不能有效处置，常以信息不全为由推脱，不肯下功夫去搜集信息；规范管理率、规范服药率未达100%；体检率、面访率低；部分患者有诊断符合但无诊断证明材料；联系人电话更新不及时。</w:t>
      </w:r>
    </w:p>
    <w:p>
      <w:pPr>
        <w:numPr>
          <w:ilvl w:val="0"/>
          <w:numId w:val="0"/>
        </w:numPr>
        <w:adjustRightInd w:val="0"/>
        <w:snapToGrid w:val="0"/>
        <w:spacing w:line="59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（五）老年人管理：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部分机构仍存在老年人健康体检漏项，未严格规范老年人健康管理服务；老年人体检组织不科学：时间安排在炎夏或者寒冬、体检楼层过高，不便利；居民对机构信任度不够，不愿提供自主体检的报告。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（六）孕产妇保健：</w:t>
      </w:r>
      <w:r>
        <w:rPr>
          <w:rFonts w:hint="eastAsia" w:ascii="仿宋" w:hAnsi="仿宋" w:eastAsia="仿宋"/>
          <w:sz w:val="30"/>
          <w:lang w:val="en-US" w:eastAsia="zh-CN"/>
        </w:rPr>
        <w:t>基层人员匮乏导致叶酸追踪不全，产后访视转入转出记录不清，妇幼项目补助宣传资料内容没有及时更新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643" w:firstLineChars="200"/>
        <w:textAlignment w:val="auto"/>
        <w:outlineLvl w:val="9"/>
        <w:rPr>
          <w:rFonts w:hint="eastAsia" w:ascii="仿宋" w:hAnsi="仿宋" w:eastAsia="仿宋"/>
          <w:sz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（七）儿童保健：</w:t>
      </w:r>
      <w:r>
        <w:rPr>
          <w:rFonts w:hint="eastAsia" w:ascii="仿宋" w:hAnsi="仿宋" w:eastAsia="仿宋"/>
          <w:sz w:val="30"/>
          <w:lang w:val="en-US" w:eastAsia="zh-CN"/>
        </w:rPr>
        <w:t>儿童花名册动态管理不到位，高危儿及营养性疾病儿童追踪管理不到位。</w:t>
      </w:r>
    </w:p>
    <w:p>
      <w:pPr>
        <w:numPr>
          <w:ilvl w:val="0"/>
          <w:numId w:val="0"/>
        </w:numPr>
        <w:adjustRightInd w:val="0"/>
        <w:snapToGrid w:val="0"/>
        <w:spacing w:line="590" w:lineRule="exact"/>
        <w:ind w:firstLine="643" w:firstLineChars="200"/>
        <w:rPr>
          <w:rFonts w:hint="eastAsia"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（八）计划免疫：</w:t>
      </w:r>
      <w:r>
        <w:rPr>
          <w:rFonts w:ascii="仿宋_GB2312" w:hAnsi="宋体" w:eastAsia="仿宋_GB2312" w:cs="宋体"/>
          <w:color w:val="000000"/>
          <w:sz w:val="32"/>
          <w:szCs w:val="32"/>
        </w:rPr>
        <w:t>预防接种门诊区域设置欠规范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，</w:t>
      </w:r>
      <w:r>
        <w:rPr>
          <w:rFonts w:ascii="仿宋_GB2312" w:hAnsi="宋体" w:eastAsia="仿宋_GB2312" w:cs="宋体"/>
          <w:color w:val="000000"/>
          <w:sz w:val="32"/>
          <w:szCs w:val="32"/>
        </w:rPr>
        <w:t>每季度开展查漏补种工作，但抽查第二季度补种率不达标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，</w:t>
      </w:r>
      <w:r>
        <w:rPr>
          <w:rFonts w:ascii="仿宋_GB2312" w:hAnsi="宋体" w:eastAsia="仿宋_GB2312" w:cs="宋体"/>
          <w:color w:val="000000"/>
          <w:sz w:val="32"/>
          <w:szCs w:val="32"/>
        </w:rPr>
        <w:t>预防接种工作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推进</w:t>
      </w:r>
      <w:r>
        <w:rPr>
          <w:rFonts w:ascii="仿宋_GB2312" w:hAnsi="宋体" w:eastAsia="仿宋_GB2312" w:cs="宋体"/>
          <w:color w:val="000000"/>
          <w:sz w:val="32"/>
          <w:szCs w:val="32"/>
        </w:rPr>
        <w:t>欠佳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疫苗管理不规范，预防接种</w:t>
      </w:r>
      <w:r>
        <w:rPr>
          <w:rFonts w:ascii="仿宋_GB2312" w:hAnsi="宋体" w:eastAsia="仿宋_GB2312" w:cs="宋体"/>
          <w:color w:val="000000"/>
          <w:sz w:val="32"/>
          <w:szCs w:val="32"/>
        </w:rPr>
        <w:t>未种儿童名单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不全，4.25全国儿童预防接种宣传日、7.28世界肝炎日宣传不到位，部分村卫生室未做未种儿童通知。</w:t>
      </w:r>
    </w:p>
    <w:p>
      <w:pPr>
        <w:numPr>
          <w:ilvl w:val="0"/>
          <w:numId w:val="0"/>
        </w:numPr>
        <w:adjustRightInd w:val="0"/>
        <w:snapToGrid w:val="0"/>
        <w:spacing w:line="590" w:lineRule="exact"/>
        <w:ind w:firstLine="643" w:firstLineChars="200"/>
        <w:rPr>
          <w:rFonts w:hint="eastAsia" w:ascii="仿宋_GB2312" w:hAnsi="宋体" w:eastAsia="仿宋_GB2312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sz w:val="32"/>
          <w:szCs w:val="32"/>
          <w:lang w:val="en-US" w:eastAsia="zh-CN"/>
        </w:rPr>
        <w:t>（九）基层机构设置与管理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我区各基层医疗机构人事管理归属各异，个别机构服务人口跨越2、3个行政区划乡（办），这在管理上存在一定程度的困难和矛盾，服务复杂化，居民也难理解与支持，导致基层工作开展不顺利。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六、下一步工作建议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（一）加强基层医疗机构设置规范。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严格按照机构规范设置建设基层医疗机构，保障辖区居民群众基层医疗资源充足；规范基层医疗机构场地、设备及人员配置标准，保障辖区居民群众就医服务质量。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（二）加大对基层医疗机构发展资金投入。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加强基层医疗机构场地建设、设备购置、人员业务培训等的资金投入，提高基层医疗机构软、硬件质量，切实改善群众就医条件和就医环境，降低基层医务人员职业风险，提高群众满意度。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（三）加强卫生人才队伍建设。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利用目前各类业务技能培训、进修学习、全科医生和社区护士转岗培训为基层医疗机构提供人才准备。在政策上适当提高基层卫生工作者工资福利待遇，增强基层医务人员职业自豪感，让其扎根基层。落实“乡聘村用”稳定乡村医生队伍，提高乡村医生队伍质量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（四）优化信息系统。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整合常用的信息系统资源，开发各系统间数据共享，避免基层医疗机构重复作业。加大数据库云端建设，保障各系统网络畅通，减少因网络不畅、系统不无正常登陆、运行导致的基层医疗机构延迟作业。进一步实现公立医院与基层医疗机构信息互联互通，居民就诊个案信息能全方位共享，方便基层医务人员了解辖区居民健康状况，同时避免居民因更换就诊机构而多次、重复检查。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附：</w:t>
      </w:r>
      <w:bookmarkStart w:id="0" w:name="_GoBack"/>
      <w:bookmarkEnd w:id="0"/>
    </w:p>
    <w:tbl>
      <w:tblPr>
        <w:tblW w:w="1347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68"/>
        <w:gridCol w:w="1415"/>
        <w:gridCol w:w="925"/>
        <w:gridCol w:w="569"/>
        <w:gridCol w:w="568"/>
        <w:gridCol w:w="570"/>
        <w:gridCol w:w="569"/>
        <w:gridCol w:w="748"/>
        <w:gridCol w:w="792"/>
        <w:gridCol w:w="926"/>
        <w:gridCol w:w="569"/>
        <w:gridCol w:w="632"/>
        <w:gridCol w:w="853"/>
        <w:gridCol w:w="3068"/>
        <w:gridCol w:w="6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13470" w:type="dxa"/>
            <w:gridSpan w:val="15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七星区2021年度基本公共卫生服务考核得分汇总表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排名</w:t>
            </w:r>
          </w:p>
        </w:tc>
        <w:tc>
          <w:tcPr>
            <w:tcW w:w="14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机构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疫情防控</w:t>
            </w:r>
          </w:p>
        </w:tc>
        <w:tc>
          <w:tcPr>
            <w:tcW w:w="531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项目执行</w:t>
            </w:r>
          </w:p>
        </w:tc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8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标准分</w:t>
            </w:r>
          </w:p>
        </w:tc>
        <w:tc>
          <w:tcPr>
            <w:tcW w:w="3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奖惩得分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（国家级±5分，自治区级±4分，市级±3分，县区级±2分，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机构级±1分）</w:t>
            </w:r>
          </w:p>
        </w:tc>
        <w:tc>
          <w:tcPr>
            <w:tcW w:w="6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终分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5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健康档案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健康教育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0-6岁儿童健康管理服务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孕产妇健康管理服务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药具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老年人健康管理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高血压患者健康管理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糖尿病患者健康管理</w:t>
            </w:r>
          </w:p>
        </w:tc>
        <w:tc>
          <w:tcPr>
            <w:tcW w:w="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603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七星站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59.8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601.8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99.80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99.80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东城站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56.7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593.7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98.46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加1分。结合时令开展健康教育宣传，图文并茂，童叟易懂。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99.46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龙隐站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69.9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58.6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599.5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99.42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99.42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花桥站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598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99.17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99.17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鸾东站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585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97.01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97.01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七星中心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59.2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51.3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566.2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93.90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加3分。代表我区迎检市级基本公卫、家庭医生、基药年终绩效考评，无严重失分。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96.90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东江中心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98.2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57.7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580.7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96.30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毅峰站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59.5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589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97.68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扣2分。接诊发热病人，被区卫监所处停业整顿3天。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95.68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华侨医院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57.4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574.4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95.26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95.26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空明站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57.3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572.6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94.96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94.96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朝阳中心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95.7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54.2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572.1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94.88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94.88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万达站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59.7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564.7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93.65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93.65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施家园站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78.75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562.85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93.34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93.34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穿东站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550.5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91.29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91.29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横塘站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56.2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568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94.20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扣5分。2021年居民健康素养和公民中医健康素养监测项目（国家试点）入户工作不到位，复核不通过，导致七星区该项目被通报批评。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89.20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汇通站</w:t>
            </w:r>
          </w:p>
        </w:tc>
        <w:tc>
          <w:tcPr>
            <w:tcW w:w="9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71.97 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71.97 </w:t>
            </w:r>
          </w:p>
        </w:tc>
      </w:tr>
    </w:tbl>
    <w:p/>
    <w:p/>
    <w:p/>
    <w:p/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2F8EA"/>
    <w:multiLevelType w:val="singleLevel"/>
    <w:tmpl w:val="62B2F8EA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27850DA"/>
    <w:rsid w:val="04DD096E"/>
    <w:rsid w:val="09145588"/>
    <w:rsid w:val="0ECD4F0E"/>
    <w:rsid w:val="18DD1E3F"/>
    <w:rsid w:val="1DA415B7"/>
    <w:rsid w:val="2D056D23"/>
    <w:rsid w:val="31023B4B"/>
    <w:rsid w:val="35823968"/>
    <w:rsid w:val="360E7D05"/>
    <w:rsid w:val="3A097A70"/>
    <w:rsid w:val="43AC3F1C"/>
    <w:rsid w:val="4B690A33"/>
    <w:rsid w:val="4C1A4B7F"/>
    <w:rsid w:val="5CA86B02"/>
    <w:rsid w:val="6A1072D5"/>
    <w:rsid w:val="7868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4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2022-06-22T11:24:44Z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