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cs="宋体"/>
          <w:sz w:val="36"/>
          <w:szCs w:val="44"/>
        </w:rPr>
      </w:pPr>
      <w:r>
        <w:rPr>
          <w:rFonts w:hint="eastAsia" w:ascii="方正小标宋简体" w:hAnsi="宋体" w:eastAsia="方正小标宋简体" w:cs="宋体"/>
          <w:sz w:val="36"/>
          <w:szCs w:val="44"/>
        </w:rPr>
        <w:t>七星区</w:t>
      </w:r>
      <w:r>
        <w:rPr>
          <w:rFonts w:hint="eastAsia" w:ascii="方正小标宋简体" w:hAnsi="宋体" w:eastAsia="方正小标宋简体" w:cs="宋体"/>
          <w:sz w:val="36"/>
          <w:szCs w:val="44"/>
          <w:lang w:val="en-US" w:eastAsia="zh-CN"/>
        </w:rPr>
        <w:t>委组织部</w:t>
      </w:r>
      <w:bookmarkStart w:id="0" w:name="_GoBack"/>
      <w:r>
        <w:rPr>
          <w:rFonts w:hint="eastAsia" w:ascii="方正小标宋简体" w:hAnsi="宋体" w:eastAsia="方正小标宋简体" w:cs="宋体"/>
          <w:sz w:val="36"/>
          <w:szCs w:val="44"/>
          <w:lang w:val="en-US" w:eastAsia="zh-CN"/>
        </w:rPr>
        <w:t>离休干部医保费</w:t>
      </w:r>
      <w:bookmarkEnd w:id="0"/>
    </w:p>
    <w:p>
      <w:pPr>
        <w:jc w:val="center"/>
        <w:rPr>
          <w:rFonts w:ascii="方正小标宋简体" w:hAnsi="宋体" w:eastAsia="方正小标宋简体" w:cs="宋体"/>
          <w:sz w:val="36"/>
          <w:szCs w:val="44"/>
        </w:rPr>
      </w:pPr>
      <w:r>
        <w:rPr>
          <w:rFonts w:ascii="方正小标宋简体" w:hAnsi="宋体" w:eastAsia="方正小标宋简体" w:cs="宋体"/>
          <w:sz w:val="36"/>
          <w:szCs w:val="44"/>
        </w:rPr>
        <w:t>2021</w:t>
      </w:r>
      <w:r>
        <w:rPr>
          <w:rFonts w:hint="eastAsia" w:ascii="方正小标宋简体" w:hAnsi="宋体" w:eastAsia="方正小标宋简体" w:cs="宋体"/>
          <w:sz w:val="36"/>
          <w:szCs w:val="44"/>
        </w:rPr>
        <w:t>年度绩效自评报告</w:t>
      </w:r>
    </w:p>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一、基本情况</w:t>
      </w:r>
    </w:p>
    <w:p>
      <w:pPr>
        <w:ind w:firstLine="640" w:firstLineChars="200"/>
        <w:rPr>
          <w:rFonts w:ascii="仿宋" w:hAnsi="仿宋" w:eastAsia="仿宋"/>
          <w:bCs/>
          <w:color w:val="auto"/>
          <w:sz w:val="32"/>
          <w:szCs w:val="32"/>
        </w:rPr>
      </w:pPr>
      <w:r>
        <w:rPr>
          <w:rFonts w:hint="eastAsia" w:ascii="仿宋" w:hAnsi="仿宋" w:eastAsia="仿宋"/>
          <w:bCs/>
          <w:color w:val="auto"/>
          <w:sz w:val="32"/>
          <w:szCs w:val="32"/>
        </w:rPr>
        <w:t>（一）项目概况</w:t>
      </w:r>
    </w:p>
    <w:p>
      <w:pPr>
        <w:spacing w:line="560" w:lineRule="exact"/>
        <w:ind w:firstLine="640" w:firstLineChars="200"/>
        <w:rPr>
          <w:rFonts w:ascii="仿宋" w:hAnsi="仿宋" w:eastAsia="仿宋"/>
          <w:color w:val="auto"/>
          <w:sz w:val="32"/>
          <w:szCs w:val="32"/>
        </w:rPr>
      </w:pPr>
      <w:r>
        <w:rPr>
          <w:rFonts w:hint="eastAsia" w:ascii="仿宋" w:hAnsi="仿宋" w:eastAsia="仿宋"/>
          <w:color w:val="auto"/>
          <w:sz w:val="32"/>
          <w:szCs w:val="32"/>
        </w:rPr>
        <w:t>我单位离休干部医保费</w:t>
      </w:r>
      <w:r>
        <w:rPr>
          <w:rFonts w:ascii="仿宋" w:hAnsi="仿宋" w:eastAsia="仿宋"/>
          <w:color w:val="auto"/>
          <w:sz w:val="32"/>
          <w:szCs w:val="32"/>
        </w:rPr>
        <w:t>2021</w:t>
      </w:r>
      <w:r>
        <w:rPr>
          <w:rFonts w:hint="eastAsia" w:ascii="仿宋" w:hAnsi="仿宋" w:eastAsia="仿宋"/>
          <w:color w:val="auto"/>
          <w:sz w:val="32"/>
          <w:szCs w:val="32"/>
        </w:rPr>
        <w:t>年预算</w:t>
      </w:r>
      <w:r>
        <w:rPr>
          <w:rFonts w:hint="eastAsia" w:ascii="仿宋" w:hAnsi="仿宋" w:eastAsia="仿宋"/>
          <w:color w:val="auto"/>
          <w:sz w:val="32"/>
          <w:szCs w:val="32"/>
          <w:lang w:val="en-US" w:eastAsia="zh-CN"/>
        </w:rPr>
        <w:t>493.8</w:t>
      </w:r>
      <w:r>
        <w:rPr>
          <w:rFonts w:hint="eastAsia" w:ascii="仿宋" w:hAnsi="仿宋" w:eastAsia="仿宋"/>
          <w:color w:val="auto"/>
          <w:sz w:val="32"/>
          <w:szCs w:val="32"/>
        </w:rPr>
        <w:t>万元，其构成是：地方补助</w:t>
      </w:r>
      <w:r>
        <w:rPr>
          <w:rFonts w:hint="eastAsia" w:ascii="仿宋" w:hAnsi="仿宋" w:eastAsia="仿宋"/>
          <w:color w:val="auto"/>
          <w:sz w:val="32"/>
          <w:szCs w:val="32"/>
          <w:lang w:val="en-US" w:eastAsia="zh-CN"/>
        </w:rPr>
        <w:t>49.8</w:t>
      </w:r>
      <w:r>
        <w:rPr>
          <w:rFonts w:hint="eastAsia" w:ascii="仿宋" w:hAnsi="仿宋" w:eastAsia="仿宋"/>
          <w:color w:val="auto"/>
          <w:sz w:val="32"/>
          <w:szCs w:val="32"/>
        </w:rPr>
        <w:t>万元，全部为地方本级预算。</w:t>
      </w:r>
    </w:p>
    <w:p>
      <w:pPr>
        <w:spacing w:line="560" w:lineRule="exact"/>
        <w:ind w:firstLine="640" w:firstLineChars="200"/>
        <w:rPr>
          <w:rFonts w:ascii="仿宋" w:hAnsi="仿宋" w:eastAsia="仿宋"/>
          <w:bCs/>
          <w:color w:val="auto"/>
          <w:sz w:val="32"/>
          <w:szCs w:val="32"/>
        </w:rPr>
      </w:pPr>
      <w:r>
        <w:rPr>
          <w:rFonts w:hint="eastAsia" w:ascii="仿宋" w:hAnsi="仿宋" w:eastAsia="仿宋"/>
          <w:bCs/>
          <w:color w:val="auto"/>
          <w:sz w:val="32"/>
          <w:szCs w:val="32"/>
        </w:rPr>
        <w:t>（二）项目绩效目标</w:t>
      </w:r>
    </w:p>
    <w:p>
      <w:pPr>
        <w:spacing w:line="560" w:lineRule="exact"/>
        <w:ind w:firstLine="640" w:firstLineChars="200"/>
        <w:rPr>
          <w:rFonts w:hint="eastAsia" w:ascii="仿宋" w:hAnsi="仿宋" w:eastAsia="仿宋" w:cs="宋体"/>
          <w:color w:val="auto"/>
          <w:kern w:val="0"/>
          <w:sz w:val="32"/>
          <w:szCs w:val="32"/>
        </w:rPr>
      </w:pPr>
      <w:r>
        <w:rPr>
          <w:rFonts w:hint="eastAsia" w:ascii="仿宋" w:hAnsi="仿宋" w:eastAsia="仿宋" w:cs="宋体"/>
          <w:color w:val="auto"/>
          <w:kern w:val="0"/>
          <w:sz w:val="32"/>
          <w:szCs w:val="32"/>
        </w:rPr>
        <w:t>总体目标：</w:t>
      </w:r>
      <w:r>
        <w:rPr>
          <w:rFonts w:hint="eastAsia" w:ascii="仿宋" w:hAnsi="仿宋" w:eastAsia="仿宋" w:cs="宋体"/>
          <w:color w:val="auto"/>
          <w:kern w:val="0"/>
          <w:sz w:val="32"/>
          <w:szCs w:val="32"/>
          <w:lang w:val="en-US" w:eastAsia="zh-CN"/>
        </w:rPr>
        <w:t>实现</w:t>
      </w:r>
      <w:r>
        <w:rPr>
          <w:rFonts w:hint="eastAsia" w:ascii="仿宋" w:hAnsi="仿宋" w:eastAsia="仿宋" w:cs="宋体"/>
          <w:color w:val="auto"/>
          <w:kern w:val="0"/>
          <w:sz w:val="32"/>
          <w:szCs w:val="32"/>
        </w:rPr>
        <w:t>离休干部享受规定的医保待遇。</w:t>
      </w:r>
    </w:p>
    <w:p>
      <w:pPr>
        <w:spacing w:line="560" w:lineRule="exact"/>
        <w:ind w:firstLine="640" w:firstLineChars="200"/>
        <w:rPr>
          <w:rFonts w:hint="eastAsia" w:ascii="仿宋" w:hAnsi="仿宋" w:eastAsia="仿宋"/>
          <w:color w:val="auto"/>
          <w:sz w:val="32"/>
          <w:szCs w:val="32"/>
        </w:rPr>
      </w:pPr>
      <w:r>
        <w:rPr>
          <w:rFonts w:hint="eastAsia" w:ascii="仿宋" w:hAnsi="仿宋" w:eastAsia="仿宋"/>
          <w:color w:val="auto"/>
          <w:sz w:val="32"/>
          <w:szCs w:val="32"/>
        </w:rPr>
        <w:t>阶段性目标：根据市医保中心文件上缴离休干部医保统筹费。</w:t>
      </w:r>
    </w:p>
    <w:p>
      <w:pPr>
        <w:spacing w:line="560" w:lineRule="exact"/>
        <w:ind w:firstLine="640" w:firstLineChars="200"/>
        <w:rPr>
          <w:rFonts w:hint="default" w:ascii="仿宋" w:hAnsi="仿宋" w:eastAsia="仿宋" w:cs="黑体"/>
          <w:bCs/>
          <w:color w:val="auto"/>
          <w:sz w:val="32"/>
          <w:szCs w:val="32"/>
          <w:lang w:val="en-US" w:eastAsia="zh-CN"/>
        </w:rPr>
      </w:pPr>
      <w:r>
        <w:rPr>
          <w:rFonts w:hint="eastAsia" w:ascii="仿宋" w:hAnsi="仿宋" w:eastAsia="仿宋" w:cs="黑体"/>
          <w:bCs/>
          <w:color w:val="auto"/>
          <w:sz w:val="32"/>
          <w:szCs w:val="32"/>
          <w:lang w:val="en-US" w:eastAsia="zh-CN"/>
        </w:rPr>
        <w:t>二、绩效自评工作开展情况</w:t>
      </w:r>
    </w:p>
    <w:p>
      <w:pPr>
        <w:spacing w:line="560" w:lineRule="exact"/>
        <w:ind w:firstLine="640" w:firstLineChars="200"/>
        <w:rPr>
          <w:rFonts w:hint="default" w:ascii="仿宋" w:hAnsi="仿宋" w:eastAsia="仿宋"/>
          <w:color w:val="auto"/>
          <w:sz w:val="32"/>
          <w:szCs w:val="32"/>
          <w:lang w:val="en-US" w:eastAsia="zh-CN"/>
        </w:rPr>
      </w:pPr>
      <w:r>
        <w:rPr>
          <w:rFonts w:hint="eastAsia" w:ascii="仿宋" w:hAnsi="仿宋" w:eastAsia="仿宋"/>
          <w:color w:val="auto"/>
          <w:sz w:val="32"/>
          <w:szCs w:val="32"/>
        </w:rPr>
        <w:t>（一）绩效评价目的、对象和范围。主要</w:t>
      </w:r>
      <w:r>
        <w:rPr>
          <w:rFonts w:hint="eastAsia" w:ascii="仿宋" w:hAnsi="仿宋" w:eastAsia="仿宋" w:cs="宋体"/>
          <w:color w:val="auto"/>
          <w:kern w:val="0"/>
          <w:sz w:val="32"/>
          <w:szCs w:val="32"/>
        </w:rPr>
        <w:t>用于</w:t>
      </w:r>
      <w:r>
        <w:rPr>
          <w:rFonts w:hint="eastAsia" w:ascii="仿宋" w:hAnsi="仿宋" w:eastAsia="仿宋" w:cs="宋体"/>
          <w:color w:val="auto"/>
          <w:kern w:val="0"/>
          <w:sz w:val="32"/>
          <w:szCs w:val="32"/>
          <w:lang w:val="en-US" w:eastAsia="zh-CN"/>
        </w:rPr>
        <w:t>支付离休干部医保统筹开支</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全部为</w:t>
      </w:r>
      <w:r>
        <w:rPr>
          <w:rFonts w:hint="eastAsia" w:ascii="仿宋" w:hAnsi="仿宋" w:eastAsia="仿宋"/>
          <w:color w:val="auto"/>
          <w:sz w:val="32"/>
          <w:szCs w:val="32"/>
          <w:lang w:eastAsia="zh-CN"/>
        </w:rPr>
        <w:t>医疗费补助</w:t>
      </w:r>
      <w:r>
        <w:rPr>
          <w:rFonts w:hint="eastAsia" w:ascii="仿宋" w:hAnsi="仿宋" w:eastAsia="仿宋"/>
          <w:color w:val="auto"/>
          <w:sz w:val="32"/>
          <w:szCs w:val="32"/>
          <w:lang w:val="en-US" w:eastAsia="zh-CN"/>
        </w:rPr>
        <w:t>。</w:t>
      </w:r>
    </w:p>
    <w:p>
      <w:pPr>
        <w:spacing w:line="56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（二）绩效评价原则、评价指标体系、评价方法、评价标准等</w:t>
      </w:r>
    </w:p>
    <w:p>
      <w:pPr>
        <w:spacing w:line="560" w:lineRule="exact"/>
        <w:ind w:firstLine="640" w:firstLineChars="200"/>
        <w:rPr>
          <w:rFonts w:ascii="仿宋_GB2312" w:hAnsi="仿宋_GB2312" w:eastAsia="仿宋_GB2312" w:cs="仿宋_GB2312"/>
          <w:sz w:val="32"/>
          <w:szCs w:val="32"/>
        </w:rPr>
      </w:pPr>
      <w:r>
        <w:rPr>
          <w:rFonts w:hint="eastAsia" w:ascii="仿宋" w:hAnsi="仿宋" w:eastAsia="仿宋"/>
          <w:color w:val="auto"/>
          <w:sz w:val="32"/>
          <w:szCs w:val="32"/>
        </w:rPr>
        <w:t>绩效评价原则、评价指标</w:t>
      </w:r>
      <w:r>
        <w:rPr>
          <w:rFonts w:hint="eastAsia" w:ascii="仿宋" w:hAnsi="仿宋" w:eastAsia="仿宋"/>
          <w:sz w:val="32"/>
          <w:szCs w:val="32"/>
        </w:rPr>
        <w:t>体系、评价方法、评价标准都是根据</w:t>
      </w:r>
      <w:r>
        <w:rPr>
          <w:rFonts w:hint="eastAsia" w:ascii="仿宋_GB2312" w:hAnsi="仿宋_GB2312" w:eastAsia="仿宋_GB2312" w:cs="仿宋_GB2312"/>
          <w:sz w:val="32"/>
          <w:szCs w:val="32"/>
        </w:rPr>
        <w:t>《中华人民共和国预算法》《中共广西壮族自治区委员会广西壮族自治区人民政府关于全面实施预算绩效管理的实施意见》</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桂发〔</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以及《桂林市七星区项目支出绩效评价管理办法》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星财字〔</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等文件要求进行自评。</w:t>
      </w:r>
    </w:p>
    <w:p>
      <w:pPr>
        <w:numPr>
          <w:ilvl w:val="0"/>
          <w:numId w:val="1"/>
        </w:numPr>
        <w:spacing w:line="560" w:lineRule="exact"/>
        <w:ind w:firstLine="640" w:firstLineChars="200"/>
        <w:rPr>
          <w:rFonts w:hint="default" w:ascii="仿宋" w:hAnsi="仿宋" w:eastAsia="仿宋"/>
          <w:sz w:val="32"/>
          <w:szCs w:val="32"/>
          <w:lang w:val="en-US"/>
        </w:rPr>
      </w:pPr>
      <w:r>
        <w:rPr>
          <w:rFonts w:hint="eastAsia" w:ascii="仿宋" w:hAnsi="仿宋" w:eastAsia="仿宋"/>
          <w:sz w:val="32"/>
          <w:szCs w:val="32"/>
        </w:rPr>
        <w:t>绩效评价工作过程。</w:t>
      </w:r>
      <w:r>
        <w:rPr>
          <w:rFonts w:hint="eastAsia" w:ascii="仿宋" w:hAnsi="仿宋" w:eastAsia="仿宋"/>
          <w:sz w:val="32"/>
          <w:szCs w:val="32"/>
          <w:lang w:val="en-US" w:eastAsia="zh-CN"/>
        </w:rPr>
        <w:t>因区财政资金不足，暂未支付该项医保费。</w:t>
      </w:r>
    </w:p>
    <w:p>
      <w:pPr>
        <w:numPr>
          <w:ilvl w:val="0"/>
          <w:numId w:val="2"/>
        </w:num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综合评价情况及评价结论</w:t>
      </w:r>
    </w:p>
    <w:p>
      <w:pPr>
        <w:numPr>
          <w:numId w:val="0"/>
        </w:numPr>
        <w:spacing w:line="560" w:lineRule="exact"/>
        <w:rPr>
          <w:rFonts w:hint="default" w:ascii="仿宋" w:hAnsi="仿宋" w:eastAsia="仿宋"/>
          <w:sz w:val="32"/>
          <w:szCs w:val="32"/>
          <w:lang w:val="en-US" w:eastAsia="zh-CN"/>
        </w:rPr>
      </w:pPr>
    </w:p>
    <w:p>
      <w:pPr>
        <w:numPr>
          <w:numId w:val="0"/>
        </w:numPr>
        <w:spacing w:line="560" w:lineRule="exact"/>
        <w:rPr>
          <w:rFonts w:hint="default" w:ascii="仿宋" w:hAnsi="仿宋" w:eastAsia="仿宋"/>
          <w:sz w:val="32"/>
          <w:szCs w:val="32"/>
          <w:lang w:val="en-US" w:eastAsia="zh-CN"/>
        </w:rPr>
      </w:pPr>
    </w:p>
    <w:p>
      <w:pPr>
        <w:numPr>
          <w:numId w:val="0"/>
        </w:numPr>
        <w:spacing w:line="560" w:lineRule="exact"/>
        <w:rPr>
          <w:rFonts w:hint="default" w:ascii="仿宋" w:hAnsi="仿宋" w:eastAsia="仿宋"/>
          <w:sz w:val="32"/>
          <w:szCs w:val="32"/>
          <w:lang w:val="en-US" w:eastAsia="zh-CN"/>
        </w:rPr>
      </w:pPr>
    </w:p>
    <w:p>
      <w:pPr>
        <w:numPr>
          <w:numId w:val="0"/>
        </w:numPr>
        <w:spacing w:line="560" w:lineRule="exact"/>
        <w:rPr>
          <w:rFonts w:hint="default" w:ascii="仿宋" w:hAnsi="仿宋" w:eastAsia="仿宋"/>
          <w:sz w:val="32"/>
          <w:szCs w:val="32"/>
          <w:lang w:val="en-US" w:eastAsia="zh-CN"/>
        </w:rPr>
      </w:pPr>
    </w:p>
    <w:tbl>
      <w:tblPr>
        <w:tblStyle w:val="4"/>
        <w:tblW w:w="9080" w:type="dxa"/>
        <w:jc w:val="center"/>
        <w:tblLayout w:type="fixed"/>
        <w:tblCellMar>
          <w:top w:w="0" w:type="dxa"/>
          <w:left w:w="108" w:type="dxa"/>
          <w:bottom w:w="0" w:type="dxa"/>
          <w:right w:w="108" w:type="dxa"/>
        </w:tblCellMar>
      </w:tblPr>
      <w:tblGrid>
        <w:gridCol w:w="588"/>
        <w:gridCol w:w="980"/>
        <w:gridCol w:w="1112"/>
        <w:gridCol w:w="730"/>
        <w:gridCol w:w="1134"/>
        <w:gridCol w:w="230"/>
        <w:gridCol w:w="904"/>
        <w:gridCol w:w="851"/>
        <w:gridCol w:w="283"/>
        <w:gridCol w:w="284"/>
        <w:gridCol w:w="425"/>
        <w:gridCol w:w="142"/>
        <w:gridCol w:w="709"/>
        <w:gridCol w:w="708"/>
      </w:tblGrid>
      <w:tr>
        <w:tblPrEx>
          <w:tblCellMar>
            <w:top w:w="0" w:type="dxa"/>
            <w:left w:w="108" w:type="dxa"/>
            <w:bottom w:w="0" w:type="dxa"/>
            <w:right w:w="108" w:type="dxa"/>
          </w:tblCellMar>
        </w:tblPrEx>
        <w:trPr>
          <w:trHeight w:val="454" w:hRule="atLeast"/>
          <w:jc w:val="center"/>
        </w:trPr>
        <w:tc>
          <w:tcPr>
            <w:tcW w:w="9080" w:type="dxa"/>
            <w:gridSpan w:val="14"/>
            <w:noWrap w:val="0"/>
            <w:vAlign w:val="center"/>
          </w:tcPr>
          <w:p>
            <w:pPr>
              <w:widowControl/>
              <w:spacing w:line="320" w:lineRule="exact"/>
              <w:jc w:val="center"/>
              <w:rPr>
                <w:rFonts w:eastAsia="方正小标宋简体"/>
                <w:bCs/>
                <w:kern w:val="0"/>
                <w:sz w:val="32"/>
                <w:szCs w:val="32"/>
              </w:rPr>
            </w:pPr>
            <w:r>
              <w:rPr>
                <w:rFonts w:eastAsia="方正小标宋简体"/>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noWrap w:val="0"/>
            <w:vAlign w:val="top"/>
          </w:tcPr>
          <w:p>
            <w:pPr>
              <w:widowControl/>
              <w:jc w:val="center"/>
              <w:rPr>
                <w:rFonts w:eastAsia="楷体_GB2312"/>
                <w:kern w:val="0"/>
                <w:sz w:val="22"/>
                <w:szCs w:val="22"/>
              </w:rPr>
            </w:pPr>
            <w:r>
              <w:rPr>
                <w:rFonts w:eastAsia="楷体_GB2312"/>
                <w:kern w:val="0"/>
                <w:sz w:val="22"/>
                <w:szCs w:val="22"/>
              </w:rPr>
              <w:t>（</w:t>
            </w:r>
            <w:r>
              <w:rPr>
                <w:rFonts w:hint="eastAsia" w:eastAsia="楷体_GB2312"/>
                <w:kern w:val="0"/>
                <w:sz w:val="22"/>
                <w:szCs w:val="22"/>
                <w:lang w:val="en-US" w:eastAsia="zh-CN"/>
              </w:rPr>
              <w:t>2021</w:t>
            </w:r>
            <w:r>
              <w:rPr>
                <w:rFonts w:eastAsia="楷体_GB2312"/>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rPr>
              <w:t>离休干部医保费</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项目资金</w:t>
            </w:r>
            <w:r>
              <w:rPr>
                <w:rFonts w:eastAsia="黑体"/>
                <w:kern w:val="0"/>
                <w:sz w:val="18"/>
                <w:szCs w:val="18"/>
              </w:rPr>
              <w:br w:type="textWrapping"/>
            </w:r>
            <w:r>
              <w:rPr>
                <w:rFonts w:hAnsi="黑体" w:eastAsia="黑体"/>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eastAsia="仿宋_GB2312"/>
                <w:kern w:val="0"/>
                <w:sz w:val="18"/>
                <w:szCs w:val="18"/>
              </w:rPr>
            </w:pPr>
            <w:r>
              <w:rPr>
                <w:rFonts w:eastAsia="仿宋_GB2312"/>
                <w:kern w:val="0"/>
                <w:sz w:val="18"/>
                <w:szCs w:val="18"/>
              </w:rPr>
              <w:t>年度资金</w:t>
            </w:r>
            <w:r>
              <w:rPr>
                <w:rFonts w:hint="eastAsia" w:eastAsia="仿宋_GB2312"/>
                <w:kern w:val="0"/>
                <w:sz w:val="18"/>
                <w:szCs w:val="18"/>
                <w:lang w:val="en-US" w:eastAsia="zh-CN"/>
              </w:rPr>
              <w:t>总额</w:t>
            </w:r>
          </w:p>
        </w:tc>
        <w:tc>
          <w:tcPr>
            <w:tcW w:w="1134" w:type="dxa"/>
            <w:tcBorders>
              <w:top w:val="nil"/>
              <w:left w:val="nil"/>
              <w:bottom w:val="single" w:color="auto" w:sz="4" w:space="0"/>
              <w:right w:val="single" w:color="auto" w:sz="4" w:space="0"/>
            </w:tcBorders>
            <w:noWrap w:val="0"/>
            <w:vAlign w:val="center"/>
          </w:tcPr>
          <w:p>
            <w:pPr>
              <w:widowControl/>
              <w:spacing w:line="240" w:lineRule="exact"/>
              <w:rPr>
                <w:rFonts w:hint="default" w:eastAsia="仿宋_GB2312"/>
                <w:kern w:val="0"/>
                <w:sz w:val="18"/>
                <w:szCs w:val="18"/>
                <w:lang w:val="en-US" w:eastAsia="zh-CN"/>
              </w:rPr>
            </w:pPr>
            <w:r>
              <w:rPr>
                <w:rFonts w:hint="eastAsia" w:eastAsia="仿宋_GB2312"/>
                <w:kern w:val="0"/>
                <w:sz w:val="18"/>
                <w:szCs w:val="18"/>
                <w:lang w:val="en-US" w:eastAsia="zh-CN"/>
              </w:rPr>
              <w:t>49.8万</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rPr>
                <w:rFonts w:hint="default" w:eastAsia="仿宋_GB2312"/>
                <w:kern w:val="0"/>
                <w:sz w:val="18"/>
                <w:szCs w:val="18"/>
                <w:lang w:val="en-US" w:eastAsia="zh-CN"/>
              </w:rPr>
            </w:pPr>
            <w:r>
              <w:rPr>
                <w:rFonts w:hint="eastAsia" w:eastAsia="仿宋_GB2312"/>
                <w:kern w:val="0"/>
                <w:sz w:val="18"/>
                <w:szCs w:val="18"/>
                <w:lang w:val="en-US" w:eastAsia="zh-CN"/>
              </w:rPr>
              <w:t>49.8万</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kern w:val="0"/>
                <w:sz w:val="18"/>
                <w:szCs w:val="18"/>
                <w:lang w:val="en-US" w:eastAsia="zh-CN"/>
              </w:rPr>
            </w:pPr>
            <w:r>
              <w:rPr>
                <w:rFonts w:hint="eastAsia"/>
                <w:kern w:val="0"/>
                <w:sz w:val="18"/>
                <w:szCs w:val="18"/>
                <w:lang w:val="en-US" w:eastAsia="zh-CN"/>
              </w:rPr>
              <w:t>0万</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lang w:val="en-US" w:eastAsia="zh-CN"/>
              </w:rPr>
            </w:pPr>
            <w:r>
              <w:rPr>
                <w:rFonts w:hint="eastAsia"/>
                <w:kern w:val="0"/>
                <w:sz w:val="18"/>
                <w:szCs w:val="18"/>
                <w:lang w:val="en-US" w:eastAsia="zh-CN"/>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0%</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实际完成情况</w:t>
            </w:r>
          </w:p>
        </w:tc>
      </w:tr>
      <w:tr>
        <w:tblPrEx>
          <w:tblCellMar>
            <w:top w:w="0" w:type="dxa"/>
            <w:left w:w="108" w:type="dxa"/>
            <w:bottom w:w="0" w:type="dxa"/>
            <w:right w:w="108" w:type="dxa"/>
          </w:tblCellMar>
        </w:tblPrEx>
        <w:trPr>
          <w:trHeight w:val="100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根据市医保中心文件上缴离休干部医保统筹费</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未支付</w:t>
            </w:r>
            <w:r>
              <w:rPr>
                <w:rFonts w:hint="eastAsia"/>
                <w:kern w:val="0"/>
                <w:sz w:val="18"/>
                <w:szCs w:val="18"/>
              </w:rPr>
              <w:t>离休干部医保统筹费</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绩</w:t>
            </w:r>
            <w:r>
              <w:rPr>
                <w:rFonts w:eastAsia="黑体"/>
                <w:kern w:val="0"/>
                <w:sz w:val="18"/>
                <w:szCs w:val="18"/>
              </w:rPr>
              <w:br w:type="textWrapping"/>
            </w:r>
            <w:r>
              <w:rPr>
                <w:rFonts w:hAnsi="黑体" w:eastAsia="黑体"/>
                <w:kern w:val="0"/>
                <w:sz w:val="18"/>
                <w:szCs w:val="18"/>
              </w:rPr>
              <w:t>效</w:t>
            </w:r>
            <w:r>
              <w:rPr>
                <w:rFonts w:eastAsia="黑体"/>
                <w:kern w:val="0"/>
                <w:sz w:val="18"/>
                <w:szCs w:val="18"/>
              </w:rPr>
              <w:br w:type="textWrapping"/>
            </w:r>
            <w:r>
              <w:rPr>
                <w:rFonts w:hAnsi="黑体" w:eastAsia="黑体"/>
                <w:kern w:val="0"/>
                <w:sz w:val="18"/>
                <w:szCs w:val="18"/>
              </w:rPr>
              <w:t>指</w:t>
            </w:r>
            <w:r>
              <w:rPr>
                <w:rFonts w:eastAsia="黑体"/>
                <w:kern w:val="0"/>
                <w:sz w:val="18"/>
                <w:szCs w:val="18"/>
              </w:rPr>
              <w:br w:type="textWrapping"/>
            </w:r>
            <w:r>
              <w:rPr>
                <w:rFonts w:hAnsi="黑体" w:eastAsia="黑体"/>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二级指标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三级指标</w:t>
            </w:r>
          </w:p>
        </w:tc>
        <w:tc>
          <w:tcPr>
            <w:tcW w:w="904"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年度</w:t>
            </w:r>
          </w:p>
          <w:p>
            <w:pPr>
              <w:widowControl/>
              <w:spacing w:line="240" w:lineRule="exact"/>
              <w:jc w:val="center"/>
              <w:rPr>
                <w:rFonts w:eastAsia="楷体_GB2312"/>
                <w:kern w:val="0"/>
                <w:sz w:val="18"/>
                <w:szCs w:val="18"/>
              </w:rPr>
            </w:pPr>
            <w:r>
              <w:rPr>
                <w:rFonts w:eastAsia="楷体_GB2312"/>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实际</w:t>
            </w:r>
          </w:p>
          <w:p>
            <w:pPr>
              <w:widowControl/>
              <w:spacing w:line="240" w:lineRule="exact"/>
              <w:jc w:val="center"/>
              <w:rPr>
                <w:rFonts w:eastAsia="楷体_GB2312"/>
                <w:kern w:val="0"/>
                <w:sz w:val="18"/>
                <w:szCs w:val="18"/>
              </w:rPr>
            </w:pPr>
            <w:r>
              <w:rPr>
                <w:rFonts w:eastAsia="楷体_GB2312"/>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偏差原因分析及改进措施</w:t>
            </w:r>
          </w:p>
        </w:tc>
      </w:tr>
      <w:tr>
        <w:tblPrEx>
          <w:tblCellMar>
            <w:top w:w="0" w:type="dxa"/>
            <w:left w:w="108" w:type="dxa"/>
            <w:bottom w:w="0" w:type="dxa"/>
            <w:right w:w="108" w:type="dxa"/>
          </w:tblCellMar>
        </w:tblPrEx>
        <w:trPr>
          <w:trHeight w:val="54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产出指标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数量指标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rPr>
              <w:t>离休干部人数</w:t>
            </w:r>
          </w:p>
        </w:tc>
        <w:tc>
          <w:tcPr>
            <w:tcW w:w="90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6人</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财政资金不足</w:t>
            </w:r>
          </w:p>
        </w:tc>
      </w:tr>
      <w:tr>
        <w:tblPrEx>
          <w:tblCellMar>
            <w:top w:w="0" w:type="dxa"/>
            <w:left w:w="108" w:type="dxa"/>
            <w:bottom w:w="0" w:type="dxa"/>
            <w:right w:w="108" w:type="dxa"/>
          </w:tblCellMar>
        </w:tblPrEx>
        <w:trPr>
          <w:trHeight w:val="48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质量指标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rPr>
              <w:t>医保缴费率</w:t>
            </w:r>
          </w:p>
        </w:tc>
        <w:tc>
          <w:tcPr>
            <w:tcW w:w="90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财政资金不足</w:t>
            </w:r>
          </w:p>
        </w:tc>
      </w:tr>
      <w:tr>
        <w:tblPrEx>
          <w:tblCellMar>
            <w:top w:w="0" w:type="dxa"/>
            <w:left w:w="108" w:type="dxa"/>
            <w:bottom w:w="0" w:type="dxa"/>
            <w:right w:w="108" w:type="dxa"/>
          </w:tblCellMar>
        </w:tblPrEx>
        <w:trPr>
          <w:trHeight w:val="70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时效指标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default" w:eastAsia="仿宋_GB2312"/>
                <w:kern w:val="0"/>
                <w:sz w:val="18"/>
                <w:szCs w:val="18"/>
                <w:lang w:val="en-US" w:eastAsia="zh-CN"/>
              </w:rPr>
              <w:t>缴费完成时间</w:t>
            </w:r>
          </w:p>
        </w:tc>
        <w:tc>
          <w:tcPr>
            <w:tcW w:w="904" w:type="dxa"/>
            <w:tcBorders>
              <w:top w:val="nil"/>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2021年底</w:t>
            </w: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2021年底</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财政资金不足</w:t>
            </w:r>
          </w:p>
        </w:tc>
      </w:tr>
      <w:tr>
        <w:tblPrEx>
          <w:tblCellMar>
            <w:top w:w="0" w:type="dxa"/>
            <w:left w:w="108" w:type="dxa"/>
            <w:bottom w:w="0" w:type="dxa"/>
            <w:right w:w="108" w:type="dxa"/>
          </w:tblCellMar>
        </w:tblPrEx>
        <w:trPr>
          <w:trHeight w:val="106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成本指标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default" w:eastAsia="仿宋_GB2312"/>
                <w:kern w:val="0"/>
                <w:sz w:val="18"/>
                <w:szCs w:val="18"/>
                <w:lang w:val="en-US" w:eastAsia="zh-CN"/>
              </w:rPr>
              <w:t>医疗费补助</w:t>
            </w:r>
          </w:p>
        </w:tc>
        <w:tc>
          <w:tcPr>
            <w:tcW w:w="90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49.8万</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1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eastAsia="楷体_GB2312"/>
                <w:kern w:val="0"/>
                <w:sz w:val="18"/>
                <w:szCs w:val="18"/>
              </w:rPr>
              <w:t>效益指标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经济效益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90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5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指标2：</w:t>
            </w:r>
          </w:p>
        </w:tc>
        <w:tc>
          <w:tcPr>
            <w:tcW w:w="90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90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168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社会效益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904"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0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生态效益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90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08"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可持续影响指标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90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78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满意度</w:t>
            </w:r>
          </w:p>
          <w:p>
            <w:pPr>
              <w:widowControl/>
              <w:spacing w:line="240" w:lineRule="exact"/>
              <w:jc w:val="center"/>
              <w:rPr>
                <w:kern w:val="0"/>
                <w:sz w:val="18"/>
                <w:szCs w:val="18"/>
              </w:rPr>
            </w:pPr>
            <w:r>
              <w:rPr>
                <w:rFonts w:eastAsia="楷体_GB2312"/>
                <w:kern w:val="0"/>
                <w:sz w:val="18"/>
                <w:szCs w:val="18"/>
              </w:rPr>
              <w:t>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服务对象满意度指标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离休干部满意度</w:t>
            </w:r>
          </w:p>
        </w:tc>
        <w:tc>
          <w:tcPr>
            <w:tcW w:w="904"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color w:val="000000"/>
                <w:kern w:val="0"/>
                <w:sz w:val="18"/>
                <w:szCs w:val="18"/>
              </w:rPr>
            </w:pPr>
            <w:r>
              <w:rPr>
                <w:rFonts w:hAnsi="黑体" w:eastAsia="黑体"/>
                <w:color w:val="000000"/>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60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bl>
    <w:p>
      <w:pPr>
        <w:spacing w:line="560" w:lineRule="exact"/>
        <w:rPr>
          <w:rFonts w:hint="eastAsia" w:ascii="仿宋" w:hAnsi="仿宋" w:eastAsia="仿宋"/>
          <w:sz w:val="32"/>
          <w:szCs w:val="32"/>
        </w:rPr>
      </w:pP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四、绩效评价指标分析</w:t>
      </w:r>
    </w:p>
    <w:p>
      <w:pPr>
        <w:numPr>
          <w:numId w:val="0"/>
        </w:num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rPr>
        <w:t>（一）、项目决策情况分析：</w:t>
      </w:r>
      <w:r>
        <w:rPr>
          <w:rFonts w:hint="eastAsia" w:ascii="仿宋" w:hAnsi="仿宋" w:eastAsia="仿宋"/>
          <w:sz w:val="32"/>
          <w:szCs w:val="32"/>
          <w:lang w:val="en-US" w:eastAsia="zh-CN"/>
        </w:rPr>
        <w:t>按照离休人数和市医保中心文件上缴离休干部医保统筹费。</w:t>
      </w:r>
    </w:p>
    <w:p>
      <w:pPr>
        <w:numPr>
          <w:numId w:val="0"/>
        </w:num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二</w:t>
      </w:r>
      <w:r>
        <w:rPr>
          <w:rFonts w:hint="eastAsia" w:ascii="仿宋" w:hAnsi="仿宋" w:eastAsia="仿宋"/>
          <w:sz w:val="32"/>
          <w:szCs w:val="32"/>
          <w:lang w:eastAsia="zh-CN"/>
        </w:rPr>
        <w:t>）、</w:t>
      </w:r>
      <w:r>
        <w:rPr>
          <w:rFonts w:hint="eastAsia" w:ascii="仿宋" w:hAnsi="仿宋" w:eastAsia="仿宋"/>
          <w:sz w:val="32"/>
          <w:szCs w:val="32"/>
        </w:rPr>
        <w:t>项目过程情况分析：</w:t>
      </w:r>
      <w:r>
        <w:rPr>
          <w:rFonts w:hint="eastAsia" w:ascii="仿宋" w:hAnsi="仿宋" w:eastAsia="仿宋"/>
          <w:sz w:val="32"/>
          <w:szCs w:val="32"/>
          <w:lang w:val="en-US" w:eastAsia="zh-CN"/>
        </w:rPr>
        <w:t>因区财政资金不足，未执行此项预算。</w:t>
      </w:r>
    </w:p>
    <w:p>
      <w:pPr>
        <w:numPr>
          <w:numId w:val="0"/>
        </w:num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三</w:t>
      </w:r>
      <w:r>
        <w:rPr>
          <w:rFonts w:hint="eastAsia" w:ascii="仿宋" w:hAnsi="仿宋" w:eastAsia="仿宋"/>
          <w:sz w:val="32"/>
          <w:szCs w:val="32"/>
          <w:lang w:eastAsia="zh-CN"/>
        </w:rPr>
        <w:t>）、</w:t>
      </w:r>
      <w:r>
        <w:rPr>
          <w:rFonts w:hint="eastAsia" w:ascii="仿宋" w:hAnsi="仿宋" w:eastAsia="仿宋"/>
          <w:sz w:val="32"/>
          <w:szCs w:val="32"/>
        </w:rPr>
        <w:t>项目产出情况分析：</w:t>
      </w:r>
      <w:r>
        <w:rPr>
          <w:rFonts w:hint="eastAsia" w:ascii="仿宋" w:hAnsi="仿宋" w:eastAsia="仿宋"/>
          <w:sz w:val="32"/>
          <w:szCs w:val="32"/>
          <w:lang w:val="en-US" w:eastAsia="zh-CN"/>
        </w:rPr>
        <w:t>未完成医保支付。</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四</w:t>
      </w:r>
      <w:r>
        <w:rPr>
          <w:rFonts w:hint="eastAsia" w:ascii="仿宋" w:hAnsi="仿宋" w:eastAsia="仿宋"/>
          <w:sz w:val="32"/>
          <w:szCs w:val="32"/>
          <w:lang w:eastAsia="zh-CN"/>
        </w:rPr>
        <w:t>）、</w:t>
      </w:r>
      <w:r>
        <w:rPr>
          <w:rFonts w:hint="eastAsia" w:ascii="仿宋" w:hAnsi="仿宋" w:eastAsia="仿宋"/>
          <w:sz w:val="32"/>
          <w:szCs w:val="32"/>
        </w:rPr>
        <w:t>项目效益情况分析：</w:t>
      </w:r>
      <w:r>
        <w:rPr>
          <w:rFonts w:hint="eastAsia" w:ascii="仿宋" w:hAnsi="仿宋" w:eastAsia="仿宋"/>
          <w:sz w:val="32"/>
          <w:szCs w:val="32"/>
          <w:lang w:val="en-US" w:eastAsia="zh-CN"/>
        </w:rPr>
        <w:t>无</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五、</w:t>
      </w:r>
      <w:r>
        <w:rPr>
          <w:rFonts w:hint="eastAsia" w:ascii="仿宋" w:hAnsi="仿宋" w:eastAsia="仿宋"/>
          <w:sz w:val="32"/>
          <w:szCs w:val="32"/>
        </w:rPr>
        <w:t>主要经验及做法、存在的问题及原因分析</w:t>
      </w:r>
    </w:p>
    <w:p>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pPr>
        <w:spacing w:line="600" w:lineRule="exact"/>
        <w:ind w:firstLine="640" w:firstLineChars="200"/>
        <w:rPr>
          <w:rFonts w:ascii="仿宋" w:hAnsi="仿宋" w:eastAsia="仿宋"/>
          <w:sz w:val="32"/>
          <w:szCs w:val="32"/>
        </w:rPr>
      </w:pPr>
      <w:r>
        <w:rPr>
          <w:rFonts w:hint="eastAsia" w:ascii="仿宋" w:hAnsi="仿宋" w:eastAsia="仿宋" w:cs="黑体"/>
          <w:bCs/>
          <w:sz w:val="32"/>
          <w:szCs w:val="32"/>
        </w:rPr>
        <w:t>六、</w:t>
      </w:r>
      <w:r>
        <w:rPr>
          <w:rFonts w:hint="eastAsia" w:ascii="仿宋" w:hAnsi="仿宋" w:eastAsia="仿宋"/>
          <w:sz w:val="32"/>
          <w:szCs w:val="32"/>
        </w:rPr>
        <w:t>有关建议。</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今后希望加强绩效考评相关人员的培训</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七、其他需说明的问题。</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无</w:t>
      </w:r>
    </w:p>
    <w:p>
      <w:pPr>
        <w:spacing w:line="560" w:lineRule="exact"/>
        <w:ind w:firstLine="640" w:firstLineChars="200"/>
        <w:rPr>
          <w:rFonts w:ascii="仿宋" w:hAnsi="仿宋" w:eastAsia="仿宋" w:cs="黑体"/>
          <w:bCs/>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A97E9"/>
    <w:multiLevelType w:val="singleLevel"/>
    <w:tmpl w:val="C6AA97E9"/>
    <w:lvl w:ilvl="0" w:tentative="0">
      <w:start w:val="3"/>
      <w:numFmt w:val="chineseCounting"/>
      <w:suff w:val="nothing"/>
      <w:lvlText w:val="（%1）"/>
      <w:lvlJc w:val="left"/>
      <w:rPr>
        <w:rFonts w:hint="eastAsia"/>
      </w:rPr>
    </w:lvl>
  </w:abstractNum>
  <w:abstractNum w:abstractNumId="1">
    <w:nsid w:val="08C636A4"/>
    <w:multiLevelType w:val="singleLevel"/>
    <w:tmpl w:val="08C636A4"/>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Njc1YTgwMzI5YjI0OWVmMzQwYTEwMjRmYWQwZmYifQ=="/>
  </w:docVars>
  <w:rsids>
    <w:rsidRoot w:val="209F394B"/>
    <w:rsid w:val="000171A8"/>
    <w:rsid w:val="000A5284"/>
    <w:rsid w:val="000F26AB"/>
    <w:rsid w:val="00126801"/>
    <w:rsid w:val="001754E1"/>
    <w:rsid w:val="00185081"/>
    <w:rsid w:val="0019290F"/>
    <w:rsid w:val="001A684B"/>
    <w:rsid w:val="001A7B52"/>
    <w:rsid w:val="001D0D97"/>
    <w:rsid w:val="001D404D"/>
    <w:rsid w:val="001E6230"/>
    <w:rsid w:val="001F2365"/>
    <w:rsid w:val="0020559B"/>
    <w:rsid w:val="0023776A"/>
    <w:rsid w:val="002730A9"/>
    <w:rsid w:val="00275552"/>
    <w:rsid w:val="0027659B"/>
    <w:rsid w:val="002A0C0B"/>
    <w:rsid w:val="002A4FF5"/>
    <w:rsid w:val="002A5B65"/>
    <w:rsid w:val="002A74B3"/>
    <w:rsid w:val="002F4669"/>
    <w:rsid w:val="002F64C1"/>
    <w:rsid w:val="00302A54"/>
    <w:rsid w:val="00306703"/>
    <w:rsid w:val="003243C4"/>
    <w:rsid w:val="00362780"/>
    <w:rsid w:val="00371D5A"/>
    <w:rsid w:val="00374851"/>
    <w:rsid w:val="00384959"/>
    <w:rsid w:val="00390B83"/>
    <w:rsid w:val="00393221"/>
    <w:rsid w:val="003A1F84"/>
    <w:rsid w:val="003A6DA9"/>
    <w:rsid w:val="003D0B94"/>
    <w:rsid w:val="003D421E"/>
    <w:rsid w:val="003D708B"/>
    <w:rsid w:val="003E2414"/>
    <w:rsid w:val="003F3562"/>
    <w:rsid w:val="00402030"/>
    <w:rsid w:val="0042410B"/>
    <w:rsid w:val="004444D0"/>
    <w:rsid w:val="004F7421"/>
    <w:rsid w:val="005041DC"/>
    <w:rsid w:val="005273A8"/>
    <w:rsid w:val="005326E5"/>
    <w:rsid w:val="005353BC"/>
    <w:rsid w:val="0057403B"/>
    <w:rsid w:val="005B48D5"/>
    <w:rsid w:val="005C224A"/>
    <w:rsid w:val="005C346B"/>
    <w:rsid w:val="005E0E78"/>
    <w:rsid w:val="0062356B"/>
    <w:rsid w:val="006300A2"/>
    <w:rsid w:val="0068642F"/>
    <w:rsid w:val="006B2A1B"/>
    <w:rsid w:val="006B2A38"/>
    <w:rsid w:val="006C1CBB"/>
    <w:rsid w:val="006C392F"/>
    <w:rsid w:val="006C78B3"/>
    <w:rsid w:val="006D27BC"/>
    <w:rsid w:val="006E4152"/>
    <w:rsid w:val="006F5B5B"/>
    <w:rsid w:val="007071FD"/>
    <w:rsid w:val="00730B68"/>
    <w:rsid w:val="00741B0F"/>
    <w:rsid w:val="007817C0"/>
    <w:rsid w:val="00781B74"/>
    <w:rsid w:val="00793735"/>
    <w:rsid w:val="007A618F"/>
    <w:rsid w:val="007D7C5F"/>
    <w:rsid w:val="007F61BE"/>
    <w:rsid w:val="00801E6A"/>
    <w:rsid w:val="008773C6"/>
    <w:rsid w:val="00882B3D"/>
    <w:rsid w:val="00892BD2"/>
    <w:rsid w:val="008B4D22"/>
    <w:rsid w:val="00916BFD"/>
    <w:rsid w:val="00957E8E"/>
    <w:rsid w:val="009A2454"/>
    <w:rsid w:val="009A2AF0"/>
    <w:rsid w:val="009A5D35"/>
    <w:rsid w:val="009B5687"/>
    <w:rsid w:val="009D0BF4"/>
    <w:rsid w:val="009F3068"/>
    <w:rsid w:val="00A01EBE"/>
    <w:rsid w:val="00A17921"/>
    <w:rsid w:val="00A51282"/>
    <w:rsid w:val="00A66549"/>
    <w:rsid w:val="00A76FC0"/>
    <w:rsid w:val="00B15E33"/>
    <w:rsid w:val="00B45802"/>
    <w:rsid w:val="00B74378"/>
    <w:rsid w:val="00B96AA2"/>
    <w:rsid w:val="00BB6B02"/>
    <w:rsid w:val="00BD0781"/>
    <w:rsid w:val="00BD6A7F"/>
    <w:rsid w:val="00BF58C7"/>
    <w:rsid w:val="00C11607"/>
    <w:rsid w:val="00C266CB"/>
    <w:rsid w:val="00C278E1"/>
    <w:rsid w:val="00C372CE"/>
    <w:rsid w:val="00C42DAC"/>
    <w:rsid w:val="00C60054"/>
    <w:rsid w:val="00C669BB"/>
    <w:rsid w:val="00C7033D"/>
    <w:rsid w:val="00C933D8"/>
    <w:rsid w:val="00CA207E"/>
    <w:rsid w:val="00CC25FC"/>
    <w:rsid w:val="00CC3CCB"/>
    <w:rsid w:val="00CD764F"/>
    <w:rsid w:val="00CE0E6A"/>
    <w:rsid w:val="00CF658B"/>
    <w:rsid w:val="00D003EA"/>
    <w:rsid w:val="00D13E76"/>
    <w:rsid w:val="00D50EA5"/>
    <w:rsid w:val="00D703AE"/>
    <w:rsid w:val="00D70CEE"/>
    <w:rsid w:val="00DD2E33"/>
    <w:rsid w:val="00DF03FD"/>
    <w:rsid w:val="00E25E98"/>
    <w:rsid w:val="00E31259"/>
    <w:rsid w:val="00E57AE7"/>
    <w:rsid w:val="00E777E2"/>
    <w:rsid w:val="00E978CA"/>
    <w:rsid w:val="00ED1C2A"/>
    <w:rsid w:val="00ED55CE"/>
    <w:rsid w:val="00ED59A7"/>
    <w:rsid w:val="00F21561"/>
    <w:rsid w:val="00F314DC"/>
    <w:rsid w:val="00F445FC"/>
    <w:rsid w:val="00F45727"/>
    <w:rsid w:val="00F7611B"/>
    <w:rsid w:val="00F8206E"/>
    <w:rsid w:val="00FA114B"/>
    <w:rsid w:val="00FB01F9"/>
    <w:rsid w:val="00FB08EA"/>
    <w:rsid w:val="04742490"/>
    <w:rsid w:val="05B32B82"/>
    <w:rsid w:val="209F394B"/>
    <w:rsid w:val="2BC76A54"/>
    <w:rsid w:val="416B288E"/>
    <w:rsid w:val="4824192B"/>
    <w:rsid w:val="4EF73B6B"/>
    <w:rsid w:val="51172D1A"/>
    <w:rsid w:val="56E5351C"/>
    <w:rsid w:val="5ED342F9"/>
    <w:rsid w:val="665C0473"/>
    <w:rsid w:val="66EE1A11"/>
    <w:rsid w:val="6E587A51"/>
    <w:rsid w:val="7E5F26B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5"/>
    <w:link w:val="3"/>
    <w:semiHidden/>
    <w:qFormat/>
    <w:locked/>
    <w:uiPriority w:val="99"/>
    <w:rPr>
      <w:rFonts w:cs="Times New Roman"/>
      <w:sz w:val="18"/>
      <w:szCs w:val="18"/>
    </w:rPr>
  </w:style>
  <w:style w:type="character" w:customStyle="1" w:styleId="7">
    <w:name w:val="Footer Char"/>
    <w:basedOn w:val="5"/>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3</Pages>
  <Words>1093</Words>
  <Characters>1167</Characters>
  <Lines>0</Lines>
  <Paragraphs>0</Paragraphs>
  <TotalTime>2</TotalTime>
  <ScaleCrop>false</ScaleCrop>
  <LinksUpToDate>false</LinksUpToDate>
  <CharactersWithSpaces>1176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2022-06-14T06:53:00Z</dcterms:created>
  <dc:creator>Administrator</dc:creator>
  <cp:lastModifiedBy>ZZB</cp:lastModifiedBy>
  <dcterms:modified xsi:type="dcterms:W3CDTF">2022-06-29T08:24:34Z</dcterms:modified>
  <dc:title>附件3</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EA0385C31582469AA2F8219B6EA228F6</vt:lpwstr>
  </property>
</Properties>
</file>