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09B9F">
      <w:pPr>
        <w:jc w:val="center"/>
        <w:rPr>
          <w:rFonts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委组织部基层办工作经费</w:t>
      </w:r>
      <w:bookmarkStart w:id="0" w:name="_GoBack"/>
      <w:bookmarkEnd w:id="0"/>
    </w:p>
    <w:p w14:paraId="137269EA">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14:paraId="7E143FA8"/>
    <w:p w14:paraId="625EE887">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14:paraId="3912E255">
      <w:pPr>
        <w:ind w:firstLine="640" w:firstLineChars="200"/>
        <w:rPr>
          <w:rFonts w:ascii="仿宋" w:hAnsi="仿宋" w:eastAsia="仿宋"/>
          <w:bCs/>
          <w:sz w:val="32"/>
          <w:szCs w:val="32"/>
        </w:rPr>
      </w:pPr>
      <w:r>
        <w:rPr>
          <w:rFonts w:hint="eastAsia" w:ascii="仿宋" w:hAnsi="仿宋" w:eastAsia="仿宋"/>
          <w:bCs/>
          <w:sz w:val="32"/>
          <w:szCs w:val="32"/>
        </w:rPr>
        <w:t>（一）项目概况</w:t>
      </w:r>
    </w:p>
    <w:p w14:paraId="0E6B215A">
      <w:pPr>
        <w:spacing w:line="560" w:lineRule="exact"/>
        <w:ind w:firstLine="640" w:firstLineChars="200"/>
        <w:rPr>
          <w:rFonts w:ascii="仿宋" w:hAnsi="仿宋" w:eastAsia="仿宋"/>
          <w:sz w:val="32"/>
          <w:szCs w:val="32"/>
        </w:rPr>
      </w:pPr>
      <w:r>
        <w:rPr>
          <w:rFonts w:hint="eastAsia" w:ascii="仿宋" w:hAnsi="仿宋" w:eastAsia="仿宋"/>
          <w:sz w:val="32"/>
          <w:szCs w:val="32"/>
        </w:rPr>
        <w:t>我单位基层办工作经费</w:t>
      </w:r>
      <w:r>
        <w:rPr>
          <w:rFonts w:ascii="仿宋" w:hAnsi="仿宋" w:eastAsia="仿宋"/>
          <w:sz w:val="32"/>
          <w:szCs w:val="32"/>
        </w:rPr>
        <w:t>2021</w:t>
      </w:r>
      <w:r>
        <w:rPr>
          <w:rFonts w:hint="eastAsia" w:ascii="仿宋" w:hAnsi="仿宋" w:eastAsia="仿宋"/>
          <w:sz w:val="32"/>
          <w:szCs w:val="32"/>
        </w:rPr>
        <w:t>年预算</w:t>
      </w:r>
      <w:r>
        <w:rPr>
          <w:rFonts w:hint="eastAsia" w:ascii="仿宋" w:hAnsi="仿宋" w:eastAsia="仿宋"/>
          <w:sz w:val="32"/>
          <w:szCs w:val="32"/>
          <w:lang w:val="en-US" w:eastAsia="zh-CN"/>
        </w:rPr>
        <w:t>60</w:t>
      </w:r>
      <w:r>
        <w:rPr>
          <w:rFonts w:hint="eastAsia" w:ascii="仿宋" w:hAnsi="仿宋" w:eastAsia="仿宋"/>
          <w:sz w:val="32"/>
          <w:szCs w:val="32"/>
        </w:rPr>
        <w:t>万元，其构成是：地方补助</w:t>
      </w:r>
      <w:r>
        <w:rPr>
          <w:rFonts w:hint="eastAsia" w:ascii="仿宋" w:hAnsi="仿宋" w:eastAsia="仿宋"/>
          <w:sz w:val="32"/>
          <w:szCs w:val="32"/>
          <w:lang w:val="en-US" w:eastAsia="zh-CN"/>
        </w:rPr>
        <w:t>60</w:t>
      </w:r>
      <w:r>
        <w:rPr>
          <w:rFonts w:hint="eastAsia" w:ascii="仿宋" w:hAnsi="仿宋" w:eastAsia="仿宋"/>
          <w:sz w:val="32"/>
          <w:szCs w:val="32"/>
        </w:rPr>
        <w:t>万元，全部为地方本级预算。</w:t>
      </w:r>
    </w:p>
    <w:p w14:paraId="7BF7D09C">
      <w:pPr>
        <w:spacing w:line="560" w:lineRule="exact"/>
        <w:ind w:firstLine="640" w:firstLineChars="200"/>
        <w:rPr>
          <w:rFonts w:ascii="仿宋" w:hAnsi="仿宋" w:eastAsia="仿宋"/>
          <w:bCs/>
          <w:sz w:val="32"/>
          <w:szCs w:val="32"/>
        </w:rPr>
      </w:pPr>
      <w:r>
        <w:rPr>
          <w:rFonts w:hint="eastAsia" w:ascii="仿宋" w:hAnsi="仿宋" w:eastAsia="仿宋"/>
          <w:bCs/>
          <w:sz w:val="32"/>
          <w:szCs w:val="32"/>
        </w:rPr>
        <w:t>（二）项目绩效目标</w:t>
      </w:r>
    </w:p>
    <w:p w14:paraId="1DE729DA">
      <w:pPr>
        <w:spacing w:line="56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总体目标：确保2021年基层办各项工作正常开展，重点工作任务覆盖率100%。</w:t>
      </w:r>
    </w:p>
    <w:p w14:paraId="0F4BACBB">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阶段性目标：</w:t>
      </w:r>
      <w:r>
        <w:rPr>
          <w:rFonts w:hint="eastAsia" w:ascii="仿宋" w:hAnsi="仿宋" w:eastAsia="仿宋"/>
          <w:sz w:val="32"/>
          <w:szCs w:val="32"/>
          <w:lang w:val="en-US" w:eastAsia="zh-CN"/>
        </w:rPr>
        <w:t>召开</w:t>
      </w:r>
      <w:r>
        <w:rPr>
          <w:rFonts w:hint="eastAsia" w:ascii="仿宋" w:hAnsi="仿宋" w:eastAsia="仿宋"/>
          <w:sz w:val="32"/>
          <w:szCs w:val="32"/>
        </w:rPr>
        <w:t>党的建设工作领导小组季度会</w:t>
      </w:r>
      <w:r>
        <w:rPr>
          <w:rFonts w:hint="eastAsia" w:ascii="仿宋" w:hAnsi="仿宋" w:eastAsia="仿宋"/>
          <w:sz w:val="32"/>
          <w:szCs w:val="32"/>
          <w:lang w:eastAsia="zh-CN"/>
        </w:rPr>
        <w:t>、</w:t>
      </w:r>
      <w:r>
        <w:rPr>
          <w:rFonts w:hint="eastAsia" w:ascii="仿宋" w:hAnsi="仿宋" w:eastAsia="仿宋"/>
          <w:sz w:val="32"/>
          <w:szCs w:val="32"/>
        </w:rPr>
        <w:t>基层党组书记年终述职评议</w:t>
      </w:r>
      <w:r>
        <w:rPr>
          <w:rFonts w:hint="eastAsia" w:ascii="仿宋" w:hAnsi="仿宋" w:eastAsia="仿宋"/>
          <w:sz w:val="32"/>
          <w:szCs w:val="32"/>
          <w:lang w:eastAsia="zh-CN"/>
        </w:rPr>
        <w:t>，</w:t>
      </w:r>
      <w:r>
        <w:rPr>
          <w:rFonts w:hint="eastAsia" w:ascii="仿宋" w:hAnsi="仿宋" w:eastAsia="仿宋"/>
          <w:sz w:val="32"/>
          <w:szCs w:val="32"/>
          <w:lang w:val="en-US" w:eastAsia="zh-CN"/>
        </w:rPr>
        <w:t>开展</w:t>
      </w:r>
      <w:r>
        <w:rPr>
          <w:rFonts w:hint="eastAsia" w:ascii="仿宋" w:hAnsi="仿宋" w:eastAsia="仿宋"/>
          <w:sz w:val="32"/>
          <w:szCs w:val="32"/>
        </w:rPr>
        <w:t>党</w:t>
      </w:r>
      <w:r>
        <w:rPr>
          <w:rFonts w:hint="eastAsia" w:ascii="仿宋" w:hAnsi="仿宋" w:eastAsia="仿宋"/>
          <w:sz w:val="32"/>
          <w:szCs w:val="32"/>
          <w:lang w:eastAsia="zh-CN"/>
        </w:rPr>
        <w:t>统计</w:t>
      </w:r>
      <w:r>
        <w:rPr>
          <w:rFonts w:hint="eastAsia" w:ascii="仿宋" w:hAnsi="仿宋" w:eastAsia="仿宋"/>
          <w:sz w:val="32"/>
          <w:szCs w:val="32"/>
        </w:rPr>
        <w:t>、桂林先锋</w:t>
      </w:r>
      <w:r>
        <w:rPr>
          <w:rFonts w:hint="eastAsia" w:ascii="仿宋" w:hAnsi="仿宋" w:eastAsia="仿宋"/>
          <w:sz w:val="32"/>
          <w:szCs w:val="32"/>
          <w:lang w:val="en-US" w:eastAsia="zh-CN"/>
        </w:rPr>
        <w:t>等</w:t>
      </w:r>
      <w:r>
        <w:rPr>
          <w:rFonts w:hint="eastAsia" w:ascii="仿宋" w:hAnsi="仿宋" w:eastAsia="仿宋"/>
          <w:sz w:val="32"/>
          <w:szCs w:val="32"/>
        </w:rPr>
        <w:t>培训</w:t>
      </w:r>
      <w:r>
        <w:rPr>
          <w:rFonts w:hint="eastAsia" w:ascii="仿宋" w:hAnsi="仿宋" w:eastAsia="仿宋"/>
          <w:sz w:val="32"/>
          <w:szCs w:val="32"/>
          <w:lang w:eastAsia="zh-CN"/>
        </w:rPr>
        <w:t>，</w:t>
      </w:r>
      <w:r>
        <w:rPr>
          <w:rFonts w:hint="eastAsia" w:ascii="仿宋" w:hAnsi="仿宋" w:eastAsia="仿宋"/>
          <w:sz w:val="32"/>
          <w:szCs w:val="32"/>
          <w:lang w:val="en-US" w:eastAsia="zh-CN"/>
        </w:rPr>
        <w:t>完成</w:t>
      </w:r>
      <w:r>
        <w:rPr>
          <w:rFonts w:hint="eastAsia" w:ascii="仿宋" w:hAnsi="仿宋" w:eastAsia="仿宋"/>
          <w:sz w:val="32"/>
          <w:szCs w:val="32"/>
        </w:rPr>
        <w:t>组工信息、网宣、调研论文</w:t>
      </w:r>
      <w:r>
        <w:rPr>
          <w:rFonts w:hint="eastAsia" w:ascii="仿宋" w:hAnsi="仿宋" w:eastAsia="仿宋"/>
          <w:sz w:val="32"/>
          <w:szCs w:val="32"/>
          <w:lang w:val="en-US" w:eastAsia="zh-CN"/>
        </w:rPr>
        <w:t>工作</w:t>
      </w:r>
      <w:r>
        <w:rPr>
          <w:rFonts w:hint="eastAsia" w:ascii="仿宋" w:hAnsi="仿宋" w:eastAsia="仿宋"/>
          <w:sz w:val="32"/>
          <w:szCs w:val="32"/>
          <w:lang w:eastAsia="zh-CN"/>
        </w:rPr>
        <w:t>，</w:t>
      </w:r>
      <w:r>
        <w:rPr>
          <w:rFonts w:hint="eastAsia" w:ascii="仿宋" w:hAnsi="仿宋" w:eastAsia="仿宋"/>
          <w:sz w:val="32"/>
          <w:szCs w:val="32"/>
          <w:lang w:val="en-US" w:eastAsia="zh-CN"/>
        </w:rPr>
        <w:t>做好网络安全</w:t>
      </w:r>
      <w:r>
        <w:rPr>
          <w:rFonts w:hint="eastAsia" w:ascii="仿宋" w:hAnsi="仿宋" w:eastAsia="仿宋"/>
          <w:sz w:val="32"/>
          <w:szCs w:val="32"/>
        </w:rPr>
        <w:t>、机房维护</w:t>
      </w:r>
      <w:r>
        <w:rPr>
          <w:rFonts w:hint="eastAsia" w:ascii="仿宋" w:hAnsi="仿宋" w:eastAsia="仿宋"/>
          <w:sz w:val="32"/>
          <w:szCs w:val="32"/>
          <w:lang w:eastAsia="zh-CN"/>
        </w:rPr>
        <w:t>，</w:t>
      </w:r>
      <w:r>
        <w:rPr>
          <w:rFonts w:hint="eastAsia" w:ascii="仿宋" w:hAnsi="仿宋" w:eastAsia="仿宋"/>
          <w:sz w:val="32"/>
          <w:szCs w:val="32"/>
        </w:rPr>
        <w:t>以及下拨村（社区）“第一书记”工作经费</w:t>
      </w:r>
      <w:r>
        <w:rPr>
          <w:rFonts w:hint="eastAsia" w:ascii="仿宋" w:hAnsi="仿宋" w:eastAsia="仿宋"/>
          <w:sz w:val="32"/>
          <w:szCs w:val="32"/>
          <w:lang w:eastAsia="zh-CN"/>
        </w:rPr>
        <w:t>、</w:t>
      </w:r>
      <w:r>
        <w:rPr>
          <w:rFonts w:hint="eastAsia" w:ascii="仿宋" w:hAnsi="仿宋" w:eastAsia="仿宋"/>
          <w:sz w:val="32"/>
          <w:szCs w:val="32"/>
        </w:rPr>
        <w:t>下拨农村星级化结果运用经费。</w:t>
      </w:r>
    </w:p>
    <w:p w14:paraId="386DE557">
      <w:pPr>
        <w:spacing w:line="560" w:lineRule="exact"/>
        <w:ind w:firstLine="640" w:firstLineChars="200"/>
        <w:rPr>
          <w:rFonts w:hint="default" w:ascii="仿宋" w:hAnsi="仿宋" w:eastAsia="仿宋" w:cs="黑体"/>
          <w:bCs/>
          <w:sz w:val="32"/>
          <w:szCs w:val="32"/>
          <w:lang w:val="en-US" w:eastAsia="zh-CN"/>
        </w:rPr>
      </w:pPr>
      <w:r>
        <w:rPr>
          <w:rFonts w:hint="eastAsia" w:ascii="仿宋" w:hAnsi="仿宋" w:eastAsia="仿宋" w:cs="黑体"/>
          <w:bCs/>
          <w:sz w:val="32"/>
          <w:szCs w:val="32"/>
          <w:lang w:val="en-US" w:eastAsia="zh-CN"/>
        </w:rPr>
        <w:t>二、绩效自评工作开展情况</w:t>
      </w:r>
    </w:p>
    <w:p w14:paraId="71B2D1C8">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（一）绩效评价目的、对象和范围。主要</w:t>
      </w:r>
      <w:r>
        <w:rPr>
          <w:rFonts w:hint="eastAsia" w:ascii="仿宋" w:hAnsi="仿宋" w:eastAsia="仿宋" w:cs="宋体"/>
          <w:kern w:val="0"/>
          <w:sz w:val="32"/>
          <w:szCs w:val="32"/>
        </w:rPr>
        <w:t>用于</w:t>
      </w:r>
      <w:r>
        <w:rPr>
          <w:rFonts w:hint="eastAsia" w:ascii="仿宋" w:hAnsi="仿宋" w:eastAsia="仿宋"/>
          <w:sz w:val="32"/>
          <w:szCs w:val="32"/>
          <w:lang w:val="en-US" w:eastAsia="zh-CN"/>
        </w:rPr>
        <w:t>开展基层办各项会议、</w:t>
      </w:r>
      <w:r>
        <w:rPr>
          <w:rFonts w:hint="eastAsia" w:ascii="仿宋" w:hAnsi="仿宋" w:eastAsia="仿宋"/>
          <w:sz w:val="32"/>
          <w:szCs w:val="32"/>
        </w:rPr>
        <w:t>培训</w:t>
      </w:r>
      <w:r>
        <w:rPr>
          <w:rFonts w:hint="eastAsia" w:ascii="仿宋" w:hAnsi="仿宋" w:eastAsia="仿宋"/>
          <w:sz w:val="32"/>
          <w:szCs w:val="32"/>
          <w:lang w:val="en-US" w:eastAsia="zh-CN"/>
        </w:rPr>
        <w:t>工作</w:t>
      </w:r>
      <w:r>
        <w:rPr>
          <w:rFonts w:hint="eastAsia" w:ascii="仿宋" w:hAnsi="仿宋" w:eastAsia="仿宋"/>
          <w:sz w:val="32"/>
          <w:szCs w:val="32"/>
          <w:lang w:eastAsia="zh-CN"/>
        </w:rPr>
        <w:t>，</w:t>
      </w:r>
      <w:r>
        <w:rPr>
          <w:rFonts w:hint="eastAsia" w:ascii="仿宋" w:hAnsi="仿宋" w:eastAsia="仿宋"/>
          <w:sz w:val="32"/>
          <w:szCs w:val="32"/>
          <w:lang w:val="en-US" w:eastAsia="zh-CN"/>
        </w:rPr>
        <w:t>完成</w:t>
      </w:r>
      <w:r>
        <w:rPr>
          <w:rFonts w:hint="eastAsia" w:ascii="仿宋" w:hAnsi="仿宋" w:eastAsia="仿宋"/>
          <w:sz w:val="32"/>
          <w:szCs w:val="32"/>
        </w:rPr>
        <w:t>组工信息、网宣、调研论文</w:t>
      </w:r>
      <w:r>
        <w:rPr>
          <w:rFonts w:hint="eastAsia" w:ascii="仿宋" w:hAnsi="仿宋" w:eastAsia="仿宋"/>
          <w:sz w:val="32"/>
          <w:szCs w:val="32"/>
          <w:lang w:val="en-US" w:eastAsia="zh-CN"/>
        </w:rPr>
        <w:t>工作</w:t>
      </w:r>
      <w:r>
        <w:rPr>
          <w:rFonts w:hint="eastAsia" w:ascii="仿宋" w:hAnsi="仿宋" w:eastAsia="仿宋"/>
          <w:sz w:val="32"/>
          <w:szCs w:val="32"/>
          <w:lang w:eastAsia="zh-CN"/>
        </w:rPr>
        <w:t>，</w:t>
      </w:r>
      <w:r>
        <w:rPr>
          <w:rFonts w:hint="eastAsia" w:ascii="仿宋" w:hAnsi="仿宋" w:eastAsia="仿宋"/>
          <w:sz w:val="32"/>
          <w:szCs w:val="32"/>
          <w:lang w:val="en-US" w:eastAsia="zh-CN"/>
        </w:rPr>
        <w:t>做好网络安全</w:t>
      </w:r>
      <w:r>
        <w:rPr>
          <w:rFonts w:hint="eastAsia" w:ascii="仿宋" w:hAnsi="仿宋" w:eastAsia="仿宋"/>
          <w:sz w:val="32"/>
          <w:szCs w:val="32"/>
        </w:rPr>
        <w:t>、机房维护</w:t>
      </w:r>
      <w:r>
        <w:rPr>
          <w:rFonts w:hint="eastAsia" w:ascii="仿宋" w:hAnsi="仿宋" w:eastAsia="仿宋"/>
          <w:sz w:val="32"/>
          <w:szCs w:val="32"/>
          <w:lang w:eastAsia="zh-CN"/>
        </w:rPr>
        <w:t>，</w:t>
      </w:r>
      <w:r>
        <w:rPr>
          <w:rFonts w:hint="eastAsia" w:ascii="仿宋" w:hAnsi="仿宋" w:eastAsia="仿宋"/>
          <w:sz w:val="32"/>
          <w:szCs w:val="32"/>
        </w:rPr>
        <w:t>以及下拨村（社区）“第一书记”工作经费</w:t>
      </w:r>
      <w:r>
        <w:rPr>
          <w:rFonts w:hint="eastAsia" w:ascii="仿宋" w:hAnsi="仿宋" w:eastAsia="仿宋"/>
          <w:sz w:val="32"/>
          <w:szCs w:val="32"/>
          <w:lang w:val="en-US" w:eastAsia="zh-CN"/>
        </w:rPr>
        <w:t>和</w:t>
      </w:r>
      <w:r>
        <w:rPr>
          <w:rFonts w:hint="eastAsia" w:ascii="仿宋" w:hAnsi="仿宋" w:eastAsia="仿宋"/>
          <w:sz w:val="32"/>
          <w:szCs w:val="32"/>
        </w:rPr>
        <w:t>农村星级化结果运用经费。</w:t>
      </w:r>
      <w:r>
        <w:rPr>
          <w:rFonts w:hint="eastAsia" w:ascii="仿宋" w:hAnsi="仿宋" w:eastAsia="仿宋"/>
          <w:sz w:val="32"/>
          <w:szCs w:val="32"/>
          <w:lang w:val="en-US" w:eastAsia="zh-CN"/>
        </w:rPr>
        <w:t>其中办公费33万元（主要为下拨各乡办</w:t>
      </w:r>
      <w:r>
        <w:rPr>
          <w:rFonts w:hint="eastAsia" w:ascii="仿宋" w:hAnsi="仿宋" w:eastAsia="仿宋"/>
          <w:sz w:val="32"/>
          <w:szCs w:val="32"/>
        </w:rPr>
        <w:t>村（社区）“第一书记”工作经费</w:t>
      </w:r>
      <w:r>
        <w:rPr>
          <w:rFonts w:hint="eastAsia" w:ascii="仿宋" w:hAnsi="仿宋" w:eastAsia="仿宋"/>
          <w:sz w:val="32"/>
          <w:szCs w:val="32"/>
          <w:lang w:val="en-US" w:eastAsia="zh-CN"/>
        </w:rPr>
        <w:t>和</w:t>
      </w:r>
      <w:r>
        <w:rPr>
          <w:rFonts w:hint="eastAsia" w:ascii="仿宋" w:hAnsi="仿宋" w:eastAsia="仿宋"/>
          <w:sz w:val="32"/>
          <w:szCs w:val="32"/>
        </w:rPr>
        <w:t>农村星级化结果运用经费</w:t>
      </w:r>
      <w:r>
        <w:rPr>
          <w:rFonts w:hint="eastAsia" w:ascii="仿宋" w:hAnsi="仿宋" w:eastAsia="仿宋"/>
          <w:sz w:val="32"/>
          <w:szCs w:val="32"/>
          <w:lang w:eastAsia="zh-CN"/>
        </w:rPr>
        <w:t>，</w:t>
      </w:r>
      <w:r>
        <w:rPr>
          <w:rFonts w:hint="eastAsia" w:ascii="仿宋" w:hAnsi="仿宋" w:eastAsia="仿宋"/>
          <w:sz w:val="32"/>
          <w:szCs w:val="32"/>
          <w:lang w:val="en-US" w:eastAsia="zh-CN"/>
        </w:rPr>
        <w:t>以及日常办公开支）、印刷费4万元、会议费9万元、办公设备购置7万元，其他开支7万元。</w:t>
      </w:r>
    </w:p>
    <w:p w14:paraId="0CE6387C">
      <w:pPr>
        <w:spacing w:line="560" w:lineRule="exact"/>
        <w:ind w:firstLine="640" w:firstLineChars="200"/>
        <w:rPr>
          <w:rFonts w:ascii="仿宋" w:hAnsi="仿宋" w:eastAsia="仿宋"/>
          <w:sz w:val="32"/>
          <w:szCs w:val="32"/>
        </w:rPr>
      </w:pPr>
      <w:r>
        <w:rPr>
          <w:rFonts w:hint="eastAsia" w:ascii="仿宋" w:hAnsi="仿宋" w:eastAsia="仿宋"/>
          <w:sz w:val="32"/>
          <w:szCs w:val="32"/>
        </w:rPr>
        <w:t>（二）绩效评价原则、评价指标体系、评价方法、评价标准等</w:t>
      </w:r>
    </w:p>
    <w:p w14:paraId="07EA4283">
      <w:pPr>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绩效评价原则、评价指标体系、评价方法、评价标准都是根据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14:paraId="7A5B8B3C">
      <w:pPr>
        <w:numPr>
          <w:ilvl w:val="0"/>
          <w:numId w:val="1"/>
        </w:num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绩效评价工作过程。</w:t>
      </w:r>
      <w:r>
        <w:rPr>
          <w:rFonts w:hint="eastAsia" w:ascii="仿宋" w:hAnsi="仿宋" w:eastAsia="仿宋"/>
          <w:sz w:val="32"/>
          <w:szCs w:val="32"/>
          <w:lang w:val="en-US" w:eastAsia="zh-CN"/>
        </w:rPr>
        <w:t>按照年初工作要点和工作计划制定方案，根据文件要求下拨第一书记工作经费和</w:t>
      </w:r>
      <w:r>
        <w:rPr>
          <w:rFonts w:hint="eastAsia" w:ascii="仿宋" w:hAnsi="仿宋" w:eastAsia="仿宋"/>
          <w:sz w:val="32"/>
          <w:szCs w:val="32"/>
        </w:rPr>
        <w:t>农村星级化结果运用经费。</w:t>
      </w:r>
    </w:p>
    <w:p w14:paraId="0C19AB51">
      <w:pPr>
        <w:numPr>
          <w:ilvl w:val="0"/>
          <w:numId w:val="0"/>
        </w:num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三、综合评价情况及评价结论</w:t>
      </w: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14:paraId="6B517A31">
        <w:tblPrEx>
          <w:tblCellMar>
            <w:top w:w="0" w:type="dxa"/>
            <w:left w:w="108" w:type="dxa"/>
            <w:bottom w:w="0" w:type="dxa"/>
            <w:right w:w="108" w:type="dxa"/>
          </w:tblCellMar>
        </w:tblPrEx>
        <w:trPr>
          <w:trHeight w:val="454" w:hRule="atLeast"/>
          <w:jc w:val="center"/>
        </w:trPr>
        <w:tc>
          <w:tcPr>
            <w:tcW w:w="9080" w:type="dxa"/>
            <w:gridSpan w:val="14"/>
            <w:noWrap w:val="0"/>
            <w:vAlign w:val="center"/>
          </w:tcPr>
          <w:p w14:paraId="5F6D15B2">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14:paraId="0F74126A">
        <w:tblPrEx>
          <w:tblCellMar>
            <w:top w:w="0" w:type="dxa"/>
            <w:left w:w="108" w:type="dxa"/>
            <w:bottom w:w="0" w:type="dxa"/>
            <w:right w:w="108" w:type="dxa"/>
          </w:tblCellMar>
        </w:tblPrEx>
        <w:trPr>
          <w:trHeight w:val="201" w:hRule="atLeast"/>
          <w:jc w:val="center"/>
        </w:trPr>
        <w:tc>
          <w:tcPr>
            <w:tcW w:w="9080" w:type="dxa"/>
            <w:gridSpan w:val="14"/>
            <w:noWrap w:val="0"/>
            <w:vAlign w:val="top"/>
          </w:tcPr>
          <w:p w14:paraId="6D31ABB4">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14:paraId="644D9020">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07305B41">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14:paraId="4F098334">
            <w:pPr>
              <w:widowControl/>
              <w:spacing w:line="240" w:lineRule="exact"/>
              <w:jc w:val="center"/>
              <w:rPr>
                <w:rFonts w:eastAsia="仿宋_GB2312"/>
                <w:kern w:val="0"/>
                <w:sz w:val="18"/>
                <w:szCs w:val="18"/>
              </w:rPr>
            </w:pPr>
            <w:r>
              <w:rPr>
                <w:rFonts w:hint="eastAsia" w:eastAsia="仿宋_GB2312"/>
                <w:kern w:val="0"/>
                <w:sz w:val="18"/>
                <w:szCs w:val="18"/>
              </w:rPr>
              <w:t>基层办工作经费</w:t>
            </w:r>
          </w:p>
        </w:tc>
      </w:tr>
      <w:tr w14:paraId="130C2867">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0FFD1E23">
            <w:pPr>
              <w:widowControl/>
              <w:spacing w:line="240" w:lineRule="exact"/>
              <w:jc w:val="center"/>
              <w:rPr>
                <w:kern w:val="0"/>
                <w:sz w:val="18"/>
                <w:szCs w:val="18"/>
              </w:rPr>
            </w:pPr>
            <w:r>
              <w:rPr>
                <w:rFonts w:hAnsi="黑体" w:eastAsia="黑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14:paraId="56906289">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134" w:type="dxa"/>
            <w:gridSpan w:val="2"/>
            <w:tcBorders>
              <w:top w:val="nil"/>
              <w:left w:val="nil"/>
              <w:bottom w:val="single" w:color="auto" w:sz="4" w:space="0"/>
              <w:right w:val="single" w:color="auto" w:sz="4" w:space="0"/>
            </w:tcBorders>
            <w:noWrap w:val="0"/>
            <w:vAlign w:val="center"/>
          </w:tcPr>
          <w:p w14:paraId="2AC5C3DB">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14:paraId="08B92CDD">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14:paraId="21C11A02">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D056102">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14:paraId="5AEF5FD2">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14:paraId="0CC63A52">
            <w:pPr>
              <w:widowControl/>
              <w:spacing w:line="240" w:lineRule="exact"/>
              <w:jc w:val="center"/>
              <w:rPr>
                <w:rFonts w:eastAsia="仿宋_GB2312"/>
                <w:kern w:val="0"/>
                <w:sz w:val="18"/>
                <w:szCs w:val="18"/>
              </w:rPr>
            </w:pPr>
            <w:r>
              <w:rPr>
                <w:rFonts w:eastAsia="仿宋_GB2312"/>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14:paraId="103C1F60">
            <w:pPr>
              <w:widowControl/>
              <w:spacing w:line="240" w:lineRule="exact"/>
              <w:jc w:val="center"/>
              <w:rPr>
                <w:rFonts w:eastAsia="仿宋_GB2312"/>
                <w:kern w:val="0"/>
                <w:sz w:val="18"/>
                <w:szCs w:val="18"/>
              </w:rPr>
            </w:pPr>
            <w:r>
              <w:rPr>
                <w:rFonts w:eastAsia="仿宋_GB2312"/>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14:paraId="16BF91B6">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14:paraId="2D7BD995">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14:paraId="35C9EF72">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14:paraId="5477BB07">
            <w:pPr>
              <w:widowControl/>
              <w:spacing w:line="240" w:lineRule="exact"/>
              <w:jc w:val="center"/>
              <w:rPr>
                <w:rFonts w:eastAsia="仿宋_GB2312"/>
                <w:kern w:val="0"/>
                <w:sz w:val="18"/>
                <w:szCs w:val="18"/>
              </w:rPr>
            </w:pPr>
            <w:r>
              <w:rPr>
                <w:rFonts w:eastAsia="仿宋_GB2312"/>
                <w:kern w:val="0"/>
                <w:sz w:val="18"/>
                <w:szCs w:val="18"/>
              </w:rPr>
              <w:t>得分</w:t>
            </w:r>
          </w:p>
        </w:tc>
      </w:tr>
      <w:tr w14:paraId="7964930A">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249E9AB">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529D8453">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14:paraId="09B73BCB">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60万</w:t>
            </w:r>
          </w:p>
        </w:tc>
        <w:tc>
          <w:tcPr>
            <w:tcW w:w="1134" w:type="dxa"/>
            <w:gridSpan w:val="2"/>
            <w:tcBorders>
              <w:top w:val="nil"/>
              <w:left w:val="nil"/>
              <w:bottom w:val="single" w:color="auto" w:sz="4" w:space="0"/>
              <w:right w:val="single" w:color="auto" w:sz="4" w:space="0"/>
            </w:tcBorders>
            <w:noWrap w:val="0"/>
            <w:vAlign w:val="center"/>
          </w:tcPr>
          <w:p w14:paraId="6A0F8C65">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60万</w:t>
            </w:r>
          </w:p>
        </w:tc>
        <w:tc>
          <w:tcPr>
            <w:tcW w:w="1134" w:type="dxa"/>
            <w:gridSpan w:val="2"/>
            <w:tcBorders>
              <w:top w:val="nil"/>
              <w:left w:val="nil"/>
              <w:bottom w:val="single" w:color="auto" w:sz="4" w:space="0"/>
              <w:right w:val="single" w:color="auto" w:sz="4" w:space="0"/>
            </w:tcBorders>
            <w:noWrap w:val="0"/>
            <w:vAlign w:val="center"/>
          </w:tcPr>
          <w:p w14:paraId="5DE9DC07">
            <w:pPr>
              <w:widowControl/>
              <w:spacing w:line="240" w:lineRule="exact"/>
              <w:jc w:val="center"/>
              <w:rPr>
                <w:rFonts w:hint="default"/>
                <w:kern w:val="0"/>
                <w:sz w:val="18"/>
                <w:szCs w:val="18"/>
                <w:lang w:val="en-US" w:eastAsia="zh-CN"/>
              </w:rPr>
            </w:pPr>
            <w:r>
              <w:rPr>
                <w:rFonts w:hint="eastAsia"/>
                <w:kern w:val="0"/>
                <w:sz w:val="18"/>
                <w:szCs w:val="18"/>
                <w:lang w:val="en-US" w:eastAsia="zh-CN"/>
              </w:rPr>
              <w:t>58.09万</w:t>
            </w:r>
          </w:p>
        </w:tc>
        <w:tc>
          <w:tcPr>
            <w:tcW w:w="709" w:type="dxa"/>
            <w:gridSpan w:val="2"/>
            <w:tcBorders>
              <w:top w:val="nil"/>
              <w:left w:val="nil"/>
              <w:bottom w:val="single" w:color="auto" w:sz="4" w:space="0"/>
              <w:right w:val="single" w:color="auto" w:sz="4" w:space="0"/>
            </w:tcBorders>
            <w:noWrap w:val="0"/>
            <w:vAlign w:val="center"/>
          </w:tcPr>
          <w:p w14:paraId="724954FA">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14:paraId="33F708AA">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96.82%</w:t>
            </w:r>
          </w:p>
        </w:tc>
        <w:tc>
          <w:tcPr>
            <w:tcW w:w="708" w:type="dxa"/>
            <w:tcBorders>
              <w:top w:val="nil"/>
              <w:left w:val="nil"/>
              <w:bottom w:val="single" w:color="auto" w:sz="4" w:space="0"/>
              <w:right w:val="single" w:color="auto" w:sz="4" w:space="0"/>
            </w:tcBorders>
            <w:noWrap w:val="0"/>
            <w:vAlign w:val="center"/>
          </w:tcPr>
          <w:p w14:paraId="394FCC4D">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r>
      <w:tr w14:paraId="52D1FBEC">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86F61EB">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48ADFBFA">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14:paraId="6EBC6A07">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0D6EA002">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3793E6C5">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14:paraId="1765CD1E">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1E13238A">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14:paraId="4181617B">
            <w:pPr>
              <w:widowControl/>
              <w:spacing w:line="240" w:lineRule="exact"/>
              <w:jc w:val="center"/>
              <w:rPr>
                <w:rFonts w:eastAsia="仿宋_GB2312"/>
                <w:kern w:val="0"/>
                <w:sz w:val="18"/>
                <w:szCs w:val="18"/>
              </w:rPr>
            </w:pPr>
            <w:r>
              <w:rPr>
                <w:rFonts w:eastAsia="仿宋_GB2312"/>
                <w:kern w:val="0"/>
                <w:sz w:val="18"/>
                <w:szCs w:val="18"/>
              </w:rPr>
              <w:t>—</w:t>
            </w:r>
          </w:p>
        </w:tc>
      </w:tr>
      <w:tr w14:paraId="65327827">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CB75317">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420F8A44">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14:paraId="48EAD86F">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1D798D58">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4BE53A4B">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14:paraId="699027B5">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57575EF7">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14:paraId="2C84F3C2">
            <w:pPr>
              <w:widowControl/>
              <w:spacing w:line="240" w:lineRule="exact"/>
              <w:jc w:val="center"/>
              <w:rPr>
                <w:rFonts w:eastAsia="仿宋_GB2312"/>
                <w:kern w:val="0"/>
                <w:sz w:val="18"/>
                <w:szCs w:val="18"/>
              </w:rPr>
            </w:pPr>
            <w:r>
              <w:rPr>
                <w:rFonts w:eastAsia="仿宋_GB2312"/>
                <w:kern w:val="0"/>
                <w:sz w:val="18"/>
                <w:szCs w:val="18"/>
              </w:rPr>
              <w:t>—</w:t>
            </w:r>
          </w:p>
        </w:tc>
      </w:tr>
      <w:tr w14:paraId="0BCBD141">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C1363D9">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537E9C47">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14:paraId="3FF081F6">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727C9C2E">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3EA00A82">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14:paraId="17C0229B">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52AA5969">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14:paraId="1D1425E3">
            <w:pPr>
              <w:widowControl/>
              <w:spacing w:line="240" w:lineRule="exact"/>
              <w:jc w:val="center"/>
              <w:rPr>
                <w:rFonts w:eastAsia="仿宋_GB2312"/>
                <w:kern w:val="0"/>
                <w:sz w:val="18"/>
                <w:szCs w:val="18"/>
              </w:rPr>
            </w:pPr>
            <w:r>
              <w:rPr>
                <w:rFonts w:eastAsia="仿宋_GB2312"/>
                <w:kern w:val="0"/>
                <w:sz w:val="18"/>
                <w:szCs w:val="18"/>
              </w:rPr>
              <w:t>—</w:t>
            </w:r>
          </w:p>
        </w:tc>
      </w:tr>
      <w:tr w14:paraId="188ED3A8">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6AD293DF">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14:paraId="61D0AB2D">
            <w:pPr>
              <w:widowControl/>
              <w:spacing w:line="240" w:lineRule="exact"/>
              <w:jc w:val="center"/>
              <w:rPr>
                <w:rFonts w:eastAsia="仿宋_GB2312"/>
                <w:kern w:val="0"/>
                <w:sz w:val="18"/>
                <w:szCs w:val="18"/>
              </w:rPr>
            </w:pPr>
            <w:r>
              <w:rPr>
                <w:rFonts w:eastAsia="仿宋_GB2312"/>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14:paraId="28796905">
            <w:pPr>
              <w:widowControl/>
              <w:spacing w:line="240" w:lineRule="exact"/>
              <w:jc w:val="center"/>
              <w:rPr>
                <w:rFonts w:eastAsia="仿宋_GB2312"/>
                <w:kern w:val="0"/>
                <w:sz w:val="18"/>
                <w:szCs w:val="18"/>
              </w:rPr>
            </w:pPr>
            <w:r>
              <w:rPr>
                <w:rFonts w:eastAsia="仿宋_GB2312"/>
                <w:kern w:val="0"/>
                <w:sz w:val="18"/>
                <w:szCs w:val="18"/>
              </w:rPr>
              <w:t>实际完成情况</w:t>
            </w:r>
          </w:p>
        </w:tc>
      </w:tr>
      <w:tr w14:paraId="2F124218">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177A9763">
            <w:pPr>
              <w:widowControl/>
              <w:jc w:val="left"/>
              <w:rPr>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14:paraId="6007B5B6">
            <w:pPr>
              <w:widowControl/>
              <w:spacing w:line="240" w:lineRule="exact"/>
              <w:jc w:val="center"/>
              <w:rPr>
                <w:kern w:val="0"/>
                <w:sz w:val="18"/>
                <w:szCs w:val="18"/>
              </w:rPr>
            </w:pPr>
            <w:r>
              <w:rPr>
                <w:rFonts w:hint="eastAsia"/>
                <w:kern w:val="0"/>
                <w:sz w:val="18"/>
                <w:szCs w:val="18"/>
              </w:rPr>
              <w:t>确保2021年基层办各项工作正常开展，重点工作任务覆盖率100%。</w:t>
            </w:r>
          </w:p>
        </w:tc>
        <w:tc>
          <w:tcPr>
            <w:tcW w:w="3402" w:type="dxa"/>
            <w:gridSpan w:val="7"/>
            <w:tcBorders>
              <w:top w:val="single" w:color="auto" w:sz="4" w:space="0"/>
              <w:left w:val="nil"/>
              <w:bottom w:val="single" w:color="auto" w:sz="4" w:space="0"/>
              <w:right w:val="single" w:color="auto" w:sz="4" w:space="0"/>
            </w:tcBorders>
            <w:noWrap w:val="0"/>
            <w:vAlign w:val="center"/>
          </w:tcPr>
          <w:p w14:paraId="5451B36D">
            <w:pPr>
              <w:widowControl/>
              <w:spacing w:line="240" w:lineRule="exact"/>
              <w:jc w:val="center"/>
              <w:rPr>
                <w:rFonts w:hint="default" w:eastAsia="宋体"/>
                <w:kern w:val="0"/>
                <w:sz w:val="18"/>
                <w:szCs w:val="18"/>
                <w:lang w:val="en-US" w:eastAsia="zh-CN"/>
              </w:rPr>
            </w:pPr>
            <w:r>
              <w:rPr>
                <w:rFonts w:hint="eastAsia"/>
                <w:kern w:val="0"/>
                <w:sz w:val="18"/>
                <w:szCs w:val="18"/>
              </w:rPr>
              <w:t>2021年基层办各项工作正常开展，重点工作任务覆盖率100%。</w:t>
            </w:r>
          </w:p>
        </w:tc>
      </w:tr>
      <w:tr w14:paraId="10403D1B">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0E743E43">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14:paraId="13E02AFC">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14:paraId="6B56D3E6">
            <w:pPr>
              <w:widowControl/>
              <w:spacing w:line="240" w:lineRule="exact"/>
              <w:jc w:val="center"/>
              <w:rPr>
                <w:rFonts w:eastAsia="楷体_GB2312"/>
                <w:kern w:val="0"/>
                <w:sz w:val="18"/>
                <w:szCs w:val="18"/>
              </w:rPr>
            </w:pPr>
            <w:r>
              <w:rPr>
                <w:rFonts w:eastAsia="楷体_GB2312"/>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14:paraId="675A3099">
            <w:pPr>
              <w:widowControl/>
              <w:spacing w:line="240" w:lineRule="exact"/>
              <w:jc w:val="center"/>
              <w:rPr>
                <w:rFonts w:eastAsia="楷体_GB2312"/>
                <w:kern w:val="0"/>
                <w:sz w:val="18"/>
                <w:szCs w:val="18"/>
              </w:rPr>
            </w:pPr>
            <w:r>
              <w:rPr>
                <w:rFonts w:eastAsia="楷体_GB2312"/>
                <w:kern w:val="0"/>
                <w:sz w:val="18"/>
                <w:szCs w:val="18"/>
              </w:rPr>
              <w:t>三级指标</w:t>
            </w:r>
          </w:p>
        </w:tc>
        <w:tc>
          <w:tcPr>
            <w:tcW w:w="850" w:type="dxa"/>
            <w:tcBorders>
              <w:top w:val="nil"/>
              <w:left w:val="nil"/>
              <w:bottom w:val="single" w:color="auto" w:sz="4" w:space="0"/>
              <w:right w:val="single" w:color="auto" w:sz="4" w:space="0"/>
            </w:tcBorders>
            <w:noWrap w:val="0"/>
            <w:vAlign w:val="center"/>
          </w:tcPr>
          <w:p w14:paraId="66801519">
            <w:pPr>
              <w:widowControl/>
              <w:spacing w:line="240" w:lineRule="exact"/>
              <w:jc w:val="center"/>
              <w:rPr>
                <w:rFonts w:eastAsia="楷体_GB2312"/>
                <w:kern w:val="0"/>
                <w:sz w:val="18"/>
                <w:szCs w:val="18"/>
              </w:rPr>
            </w:pPr>
            <w:r>
              <w:rPr>
                <w:rFonts w:eastAsia="楷体_GB2312"/>
                <w:kern w:val="0"/>
                <w:sz w:val="18"/>
                <w:szCs w:val="18"/>
              </w:rPr>
              <w:t>年度</w:t>
            </w:r>
          </w:p>
          <w:p w14:paraId="7AAB0187">
            <w:pPr>
              <w:widowControl/>
              <w:spacing w:line="240" w:lineRule="exact"/>
              <w:jc w:val="center"/>
              <w:rPr>
                <w:rFonts w:eastAsia="楷体_GB2312"/>
                <w:kern w:val="0"/>
                <w:sz w:val="18"/>
                <w:szCs w:val="18"/>
              </w:rPr>
            </w:pPr>
            <w:r>
              <w:rPr>
                <w:rFonts w:eastAsia="楷体_GB2312"/>
                <w:kern w:val="0"/>
                <w:sz w:val="18"/>
                <w:szCs w:val="18"/>
              </w:rPr>
              <w:t>指标值</w:t>
            </w:r>
          </w:p>
        </w:tc>
        <w:tc>
          <w:tcPr>
            <w:tcW w:w="851" w:type="dxa"/>
            <w:tcBorders>
              <w:top w:val="nil"/>
              <w:left w:val="nil"/>
              <w:bottom w:val="single" w:color="auto" w:sz="4" w:space="0"/>
              <w:right w:val="single" w:color="auto" w:sz="4" w:space="0"/>
            </w:tcBorders>
            <w:noWrap w:val="0"/>
            <w:vAlign w:val="center"/>
          </w:tcPr>
          <w:p w14:paraId="5C52C8AA">
            <w:pPr>
              <w:widowControl/>
              <w:spacing w:line="240" w:lineRule="exact"/>
              <w:jc w:val="center"/>
              <w:rPr>
                <w:rFonts w:eastAsia="楷体_GB2312"/>
                <w:kern w:val="0"/>
                <w:sz w:val="18"/>
                <w:szCs w:val="18"/>
              </w:rPr>
            </w:pPr>
            <w:r>
              <w:rPr>
                <w:rFonts w:eastAsia="楷体_GB2312"/>
                <w:kern w:val="0"/>
                <w:sz w:val="18"/>
                <w:szCs w:val="18"/>
              </w:rPr>
              <w:t>实际</w:t>
            </w:r>
          </w:p>
          <w:p w14:paraId="1C370289">
            <w:pPr>
              <w:widowControl/>
              <w:spacing w:line="240" w:lineRule="exact"/>
              <w:jc w:val="center"/>
              <w:rPr>
                <w:rFonts w:eastAsia="楷体_GB2312"/>
                <w:kern w:val="0"/>
                <w:sz w:val="18"/>
                <w:szCs w:val="18"/>
              </w:rPr>
            </w:pPr>
            <w:r>
              <w:rPr>
                <w:rFonts w:eastAsia="楷体_GB2312"/>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14:paraId="1AF1B3DF">
            <w:pPr>
              <w:widowControl/>
              <w:spacing w:line="240" w:lineRule="exact"/>
              <w:jc w:val="center"/>
              <w:rPr>
                <w:rFonts w:eastAsia="楷体_GB2312"/>
                <w:kern w:val="0"/>
                <w:sz w:val="18"/>
                <w:szCs w:val="18"/>
              </w:rPr>
            </w:pPr>
            <w:r>
              <w:rPr>
                <w:rFonts w:eastAsia="楷体_GB2312"/>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14:paraId="6D740FA9">
            <w:pPr>
              <w:widowControl/>
              <w:spacing w:line="240" w:lineRule="exact"/>
              <w:jc w:val="center"/>
              <w:rPr>
                <w:rFonts w:eastAsia="楷体_GB2312"/>
                <w:kern w:val="0"/>
                <w:sz w:val="18"/>
                <w:szCs w:val="18"/>
              </w:rPr>
            </w:pPr>
            <w:r>
              <w:rPr>
                <w:rFonts w:eastAsia="楷体_GB2312"/>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14:paraId="7B463164">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14:paraId="2CE576C8">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0C241C2A">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02880748">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14:paraId="13EA41F9">
            <w:pPr>
              <w:widowControl/>
              <w:spacing w:line="240" w:lineRule="exact"/>
              <w:jc w:val="center"/>
              <w:rPr>
                <w:rFonts w:eastAsia="仿宋_GB2312"/>
                <w:kern w:val="0"/>
                <w:sz w:val="18"/>
                <w:szCs w:val="18"/>
              </w:rPr>
            </w:pPr>
            <w:r>
              <w:rPr>
                <w:rFonts w:eastAsia="仿宋_GB2312"/>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14:paraId="11E94487">
            <w:pPr>
              <w:widowControl/>
              <w:spacing w:line="240" w:lineRule="exact"/>
              <w:jc w:val="left"/>
              <w:rPr>
                <w:rFonts w:eastAsia="仿宋_GB2312"/>
                <w:kern w:val="0"/>
                <w:sz w:val="18"/>
                <w:szCs w:val="18"/>
              </w:rPr>
            </w:pPr>
            <w:r>
              <w:rPr>
                <w:rFonts w:hint="eastAsia" w:eastAsia="仿宋_GB2312"/>
                <w:kern w:val="0"/>
                <w:sz w:val="18"/>
                <w:szCs w:val="18"/>
              </w:rPr>
              <w:t>基层办重点工作数量</w:t>
            </w:r>
          </w:p>
        </w:tc>
        <w:tc>
          <w:tcPr>
            <w:tcW w:w="850" w:type="dxa"/>
            <w:tcBorders>
              <w:top w:val="nil"/>
              <w:left w:val="nil"/>
              <w:bottom w:val="single" w:color="auto" w:sz="4" w:space="0"/>
              <w:right w:val="single" w:color="auto" w:sz="4" w:space="0"/>
            </w:tcBorders>
            <w:noWrap w:val="0"/>
            <w:vAlign w:val="center"/>
          </w:tcPr>
          <w:p w14:paraId="0155932F">
            <w:pPr>
              <w:widowControl/>
              <w:spacing w:line="240" w:lineRule="exact"/>
              <w:jc w:val="center"/>
              <w:rPr>
                <w:rFonts w:hint="default" w:eastAsia="仿宋_GB2312"/>
                <w:kern w:val="0"/>
                <w:sz w:val="18"/>
                <w:szCs w:val="18"/>
                <w:lang w:val="en-US" w:eastAsia="zh-CN"/>
              </w:rPr>
            </w:pPr>
            <w:r>
              <w:rPr>
                <w:rFonts w:hint="default" w:eastAsia="仿宋_GB2312"/>
                <w:kern w:val="0"/>
                <w:sz w:val="18"/>
                <w:szCs w:val="18"/>
                <w:lang w:val="en-US" w:eastAsia="zh-CN"/>
              </w:rPr>
              <w:t>≤8项</w:t>
            </w:r>
          </w:p>
        </w:tc>
        <w:tc>
          <w:tcPr>
            <w:tcW w:w="851" w:type="dxa"/>
            <w:tcBorders>
              <w:top w:val="nil"/>
              <w:left w:val="nil"/>
              <w:bottom w:val="single" w:color="auto" w:sz="4" w:space="0"/>
              <w:right w:val="single" w:color="auto" w:sz="4" w:space="0"/>
            </w:tcBorders>
            <w:noWrap w:val="0"/>
            <w:vAlign w:val="center"/>
          </w:tcPr>
          <w:p w14:paraId="11A99F00">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8</w:t>
            </w:r>
          </w:p>
        </w:tc>
        <w:tc>
          <w:tcPr>
            <w:tcW w:w="567" w:type="dxa"/>
            <w:gridSpan w:val="2"/>
            <w:tcBorders>
              <w:top w:val="nil"/>
              <w:left w:val="nil"/>
              <w:bottom w:val="single" w:color="auto" w:sz="4" w:space="0"/>
              <w:right w:val="single" w:color="auto" w:sz="4" w:space="0"/>
            </w:tcBorders>
            <w:noWrap w:val="0"/>
            <w:vAlign w:val="center"/>
          </w:tcPr>
          <w:p w14:paraId="2F22568B">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192784FE">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648C57E5">
            <w:pPr>
              <w:widowControl/>
              <w:spacing w:line="240" w:lineRule="exact"/>
              <w:jc w:val="center"/>
              <w:rPr>
                <w:rFonts w:eastAsia="仿宋_GB2312"/>
                <w:kern w:val="0"/>
                <w:sz w:val="18"/>
                <w:szCs w:val="18"/>
              </w:rPr>
            </w:pPr>
          </w:p>
        </w:tc>
      </w:tr>
      <w:tr w14:paraId="7597D46A">
        <w:tblPrEx>
          <w:tblCellMar>
            <w:top w:w="0" w:type="dxa"/>
            <w:left w:w="108" w:type="dxa"/>
            <w:bottom w:w="0" w:type="dxa"/>
            <w:right w:w="108" w:type="dxa"/>
          </w:tblCellMar>
        </w:tblPrEx>
        <w:trPr>
          <w:trHeight w:val="4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1373BC44">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2946B03">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5B5C1AFB">
            <w:pPr>
              <w:widowControl/>
              <w:spacing w:line="240" w:lineRule="exact"/>
              <w:jc w:val="center"/>
              <w:rPr>
                <w:rFonts w:eastAsia="仿宋_GB2312"/>
                <w:kern w:val="0"/>
                <w:sz w:val="18"/>
                <w:szCs w:val="18"/>
              </w:rPr>
            </w:pPr>
            <w:r>
              <w:rPr>
                <w:rFonts w:eastAsia="仿宋_GB2312"/>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14:paraId="608D723F">
            <w:pPr>
              <w:widowControl/>
              <w:spacing w:line="240" w:lineRule="exact"/>
              <w:jc w:val="left"/>
              <w:rPr>
                <w:rFonts w:eastAsia="仿宋_GB2312"/>
                <w:kern w:val="0"/>
                <w:sz w:val="18"/>
                <w:szCs w:val="18"/>
              </w:rPr>
            </w:pPr>
            <w:r>
              <w:rPr>
                <w:rFonts w:hint="eastAsia" w:eastAsia="仿宋_GB2312"/>
                <w:kern w:val="0"/>
                <w:sz w:val="18"/>
                <w:szCs w:val="18"/>
              </w:rPr>
              <w:t>基层办重点工作开展率</w:t>
            </w:r>
          </w:p>
        </w:tc>
        <w:tc>
          <w:tcPr>
            <w:tcW w:w="850" w:type="dxa"/>
            <w:tcBorders>
              <w:top w:val="nil"/>
              <w:left w:val="nil"/>
              <w:bottom w:val="single" w:color="auto" w:sz="4" w:space="0"/>
              <w:right w:val="single" w:color="auto" w:sz="4" w:space="0"/>
            </w:tcBorders>
            <w:noWrap w:val="0"/>
            <w:vAlign w:val="center"/>
          </w:tcPr>
          <w:p w14:paraId="26FC981B">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14:paraId="42175E27">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30FE6FEA">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4E31E266">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303409F2">
            <w:pPr>
              <w:widowControl/>
              <w:spacing w:line="240" w:lineRule="exact"/>
              <w:jc w:val="center"/>
              <w:rPr>
                <w:rFonts w:eastAsia="仿宋_GB2312"/>
                <w:kern w:val="0"/>
                <w:sz w:val="18"/>
                <w:szCs w:val="18"/>
              </w:rPr>
            </w:pPr>
          </w:p>
        </w:tc>
      </w:tr>
      <w:tr w14:paraId="058F926C">
        <w:tblPrEx>
          <w:tblCellMar>
            <w:top w:w="0" w:type="dxa"/>
            <w:left w:w="108" w:type="dxa"/>
            <w:bottom w:w="0" w:type="dxa"/>
            <w:right w:w="108" w:type="dxa"/>
          </w:tblCellMar>
        </w:tblPrEx>
        <w:trPr>
          <w:trHeight w:val="70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162EB645">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0DD60DA">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419D9DB5">
            <w:pPr>
              <w:widowControl/>
              <w:spacing w:line="240" w:lineRule="exact"/>
              <w:jc w:val="center"/>
              <w:rPr>
                <w:rFonts w:eastAsia="仿宋_GB2312"/>
                <w:kern w:val="0"/>
                <w:sz w:val="18"/>
                <w:szCs w:val="18"/>
              </w:rPr>
            </w:pPr>
            <w:r>
              <w:rPr>
                <w:rFonts w:eastAsia="仿宋_GB2312"/>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14:paraId="25AF2353">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基层办重点工作完成时间</w:t>
            </w:r>
          </w:p>
        </w:tc>
        <w:tc>
          <w:tcPr>
            <w:tcW w:w="850" w:type="dxa"/>
            <w:tcBorders>
              <w:top w:val="nil"/>
              <w:left w:val="nil"/>
              <w:bottom w:val="single" w:color="auto" w:sz="4" w:space="0"/>
              <w:right w:val="single" w:color="auto" w:sz="4" w:space="0"/>
            </w:tcBorders>
            <w:noWrap w:val="0"/>
            <w:vAlign w:val="center"/>
          </w:tcPr>
          <w:p w14:paraId="1C5A863B">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851" w:type="dxa"/>
            <w:tcBorders>
              <w:top w:val="nil"/>
              <w:left w:val="nil"/>
              <w:bottom w:val="single" w:color="auto" w:sz="4" w:space="0"/>
              <w:right w:val="single" w:color="auto" w:sz="4" w:space="0"/>
            </w:tcBorders>
            <w:noWrap w:val="0"/>
            <w:vAlign w:val="center"/>
          </w:tcPr>
          <w:p w14:paraId="77C89347">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567" w:type="dxa"/>
            <w:gridSpan w:val="2"/>
            <w:tcBorders>
              <w:top w:val="nil"/>
              <w:left w:val="nil"/>
              <w:bottom w:val="single" w:color="auto" w:sz="4" w:space="0"/>
              <w:right w:val="single" w:color="auto" w:sz="4" w:space="0"/>
            </w:tcBorders>
            <w:noWrap w:val="0"/>
            <w:vAlign w:val="center"/>
          </w:tcPr>
          <w:p w14:paraId="26DF9E0E">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7FB7764B">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56CC1927">
            <w:pPr>
              <w:widowControl/>
              <w:spacing w:line="240" w:lineRule="exact"/>
              <w:jc w:val="center"/>
              <w:rPr>
                <w:rFonts w:eastAsia="仿宋_GB2312"/>
                <w:kern w:val="0"/>
                <w:sz w:val="18"/>
                <w:szCs w:val="18"/>
              </w:rPr>
            </w:pPr>
          </w:p>
        </w:tc>
      </w:tr>
      <w:tr w14:paraId="7108EB96">
        <w:tblPrEx>
          <w:tblCellMar>
            <w:top w:w="0" w:type="dxa"/>
            <w:left w:w="108" w:type="dxa"/>
            <w:bottom w:w="0" w:type="dxa"/>
            <w:right w:w="108" w:type="dxa"/>
          </w:tblCellMar>
        </w:tblPrEx>
        <w:trPr>
          <w:trHeight w:val="9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35FF6C0D">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518A235">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6E95422C">
            <w:pPr>
              <w:widowControl/>
              <w:spacing w:line="240" w:lineRule="exact"/>
              <w:jc w:val="center"/>
              <w:rPr>
                <w:rFonts w:eastAsia="仿宋_GB2312"/>
                <w:kern w:val="0"/>
                <w:sz w:val="18"/>
                <w:szCs w:val="18"/>
              </w:rPr>
            </w:pPr>
            <w:r>
              <w:rPr>
                <w:rFonts w:eastAsia="仿宋_GB2312"/>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14:paraId="6BC32960">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办公费、印刷费、会议费、差旅费、公务接待费、办公设备购置</w:t>
            </w:r>
          </w:p>
        </w:tc>
        <w:tc>
          <w:tcPr>
            <w:tcW w:w="850" w:type="dxa"/>
            <w:tcBorders>
              <w:top w:val="nil"/>
              <w:left w:val="nil"/>
              <w:bottom w:val="single" w:color="auto" w:sz="4" w:space="0"/>
              <w:right w:val="single" w:color="auto" w:sz="4" w:space="0"/>
            </w:tcBorders>
            <w:noWrap w:val="0"/>
            <w:vAlign w:val="center"/>
          </w:tcPr>
          <w:p w14:paraId="54252475">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60万</w:t>
            </w:r>
          </w:p>
        </w:tc>
        <w:tc>
          <w:tcPr>
            <w:tcW w:w="851" w:type="dxa"/>
            <w:tcBorders>
              <w:top w:val="nil"/>
              <w:left w:val="nil"/>
              <w:bottom w:val="single" w:color="auto" w:sz="4" w:space="0"/>
              <w:right w:val="single" w:color="auto" w:sz="4" w:space="0"/>
            </w:tcBorders>
            <w:noWrap w:val="0"/>
            <w:vAlign w:val="center"/>
          </w:tcPr>
          <w:p w14:paraId="4740F2AE">
            <w:pPr>
              <w:widowControl/>
              <w:spacing w:line="240" w:lineRule="exact"/>
              <w:jc w:val="center"/>
              <w:rPr>
                <w:rFonts w:hint="default" w:eastAsia="仿宋_GB2312"/>
                <w:kern w:val="0"/>
                <w:sz w:val="18"/>
                <w:szCs w:val="18"/>
                <w:lang w:val="en-US" w:eastAsia="zh-CN"/>
              </w:rPr>
            </w:pPr>
            <w:r>
              <w:rPr>
                <w:rFonts w:hint="eastAsia"/>
                <w:kern w:val="0"/>
                <w:sz w:val="18"/>
                <w:szCs w:val="18"/>
                <w:lang w:val="en-US" w:eastAsia="zh-CN"/>
              </w:rPr>
              <w:t>58.09万</w:t>
            </w:r>
          </w:p>
        </w:tc>
        <w:tc>
          <w:tcPr>
            <w:tcW w:w="567" w:type="dxa"/>
            <w:gridSpan w:val="2"/>
            <w:tcBorders>
              <w:top w:val="nil"/>
              <w:left w:val="nil"/>
              <w:bottom w:val="single" w:color="auto" w:sz="4" w:space="0"/>
              <w:right w:val="single" w:color="auto" w:sz="4" w:space="0"/>
            </w:tcBorders>
            <w:noWrap w:val="0"/>
            <w:vAlign w:val="center"/>
          </w:tcPr>
          <w:p w14:paraId="4D7BD5C4">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2064FCC6">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14:paraId="29272C3A">
            <w:pPr>
              <w:widowControl/>
              <w:spacing w:line="240" w:lineRule="exact"/>
              <w:jc w:val="center"/>
              <w:rPr>
                <w:rFonts w:eastAsia="仿宋_GB2312"/>
                <w:kern w:val="0"/>
                <w:sz w:val="18"/>
                <w:szCs w:val="18"/>
              </w:rPr>
            </w:pPr>
          </w:p>
        </w:tc>
      </w:tr>
      <w:tr w14:paraId="6D404555">
        <w:tblPrEx>
          <w:tblCellMar>
            <w:top w:w="0" w:type="dxa"/>
            <w:left w:w="108" w:type="dxa"/>
            <w:bottom w:w="0" w:type="dxa"/>
            <w:right w:w="108" w:type="dxa"/>
          </w:tblCellMar>
        </w:tblPrEx>
        <w:trPr>
          <w:trHeight w:val="31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354A8B5B">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73C98F01">
            <w:pPr>
              <w:widowControl/>
              <w:spacing w:line="240" w:lineRule="exact"/>
              <w:jc w:val="center"/>
              <w:rPr>
                <w:kern w:val="0"/>
                <w:sz w:val="18"/>
                <w:szCs w:val="18"/>
              </w:rPr>
            </w:pPr>
            <w:r>
              <w:rPr>
                <w:rFonts w:eastAsia="楷体_GB2312"/>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14:paraId="25579179">
            <w:pPr>
              <w:widowControl/>
              <w:spacing w:line="240" w:lineRule="exact"/>
              <w:jc w:val="center"/>
              <w:rPr>
                <w:rFonts w:eastAsia="仿宋_GB2312"/>
                <w:kern w:val="0"/>
                <w:sz w:val="18"/>
                <w:szCs w:val="18"/>
              </w:rPr>
            </w:pPr>
            <w:r>
              <w:rPr>
                <w:rFonts w:eastAsia="仿宋_GB2312"/>
                <w:kern w:val="0"/>
                <w:sz w:val="18"/>
                <w:szCs w:val="18"/>
              </w:rPr>
              <w:t>经济效益</w:t>
            </w:r>
          </w:p>
          <w:p w14:paraId="3798CCE2">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14:paraId="3AAA80DF">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14:paraId="35605B0D">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14:paraId="265F2BCF">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185B0EF9">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434B2AA0">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49AE27AF">
            <w:pPr>
              <w:widowControl/>
              <w:spacing w:line="240" w:lineRule="exact"/>
              <w:jc w:val="center"/>
              <w:rPr>
                <w:rFonts w:eastAsia="仿宋_GB2312"/>
                <w:kern w:val="0"/>
                <w:sz w:val="18"/>
                <w:szCs w:val="18"/>
              </w:rPr>
            </w:pPr>
          </w:p>
        </w:tc>
      </w:tr>
      <w:tr w14:paraId="128CE2BF">
        <w:tblPrEx>
          <w:tblCellMar>
            <w:top w:w="0" w:type="dxa"/>
            <w:left w:w="108" w:type="dxa"/>
            <w:bottom w:w="0" w:type="dxa"/>
            <w:right w:w="108" w:type="dxa"/>
          </w:tblCellMar>
        </w:tblPrEx>
        <w:trPr>
          <w:trHeight w:val="35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0B268280">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911EB8A">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4EC2B012">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14:paraId="2994B882">
            <w:pPr>
              <w:widowControl/>
              <w:spacing w:line="240" w:lineRule="exact"/>
              <w:jc w:val="left"/>
              <w:rPr>
                <w:rFonts w:eastAsia="仿宋_GB2312"/>
                <w:kern w:val="0"/>
                <w:sz w:val="18"/>
                <w:szCs w:val="18"/>
              </w:rPr>
            </w:pPr>
            <w:r>
              <w:rPr>
                <w:rFonts w:eastAsia="仿宋_GB2312"/>
                <w:kern w:val="0"/>
                <w:sz w:val="18"/>
                <w:szCs w:val="18"/>
              </w:rPr>
              <w:t>指标2：</w:t>
            </w:r>
          </w:p>
        </w:tc>
        <w:tc>
          <w:tcPr>
            <w:tcW w:w="850" w:type="dxa"/>
            <w:tcBorders>
              <w:top w:val="nil"/>
              <w:left w:val="nil"/>
              <w:bottom w:val="single" w:color="auto" w:sz="4" w:space="0"/>
              <w:right w:val="single" w:color="auto" w:sz="4" w:space="0"/>
            </w:tcBorders>
            <w:noWrap w:val="0"/>
            <w:vAlign w:val="center"/>
          </w:tcPr>
          <w:p w14:paraId="1A18AC78">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14:paraId="2D598CAC">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5D09EA28">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63C86FF6">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0C8BA7AA">
            <w:pPr>
              <w:widowControl/>
              <w:spacing w:line="240" w:lineRule="exact"/>
              <w:jc w:val="center"/>
              <w:rPr>
                <w:rFonts w:eastAsia="仿宋_GB2312"/>
                <w:kern w:val="0"/>
                <w:sz w:val="18"/>
                <w:szCs w:val="18"/>
              </w:rPr>
            </w:pPr>
          </w:p>
        </w:tc>
      </w:tr>
      <w:tr w14:paraId="7DA768C9">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5FCD0CB8">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CAFBB43">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2F2774E3">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14:paraId="6F74986F">
            <w:pPr>
              <w:widowControl/>
              <w:spacing w:line="240" w:lineRule="exact"/>
              <w:jc w:val="center"/>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14:paraId="0FD34CC5">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14:paraId="3C6D1EA8">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52E1FF4C">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25F8FA1E">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2130A256">
            <w:pPr>
              <w:widowControl/>
              <w:spacing w:line="240" w:lineRule="exact"/>
              <w:jc w:val="center"/>
              <w:rPr>
                <w:rFonts w:eastAsia="仿宋_GB2312"/>
                <w:kern w:val="0"/>
                <w:sz w:val="18"/>
                <w:szCs w:val="18"/>
              </w:rPr>
            </w:pPr>
          </w:p>
        </w:tc>
      </w:tr>
      <w:tr w14:paraId="35F06FF9">
        <w:tblPrEx>
          <w:tblCellMar>
            <w:top w:w="0" w:type="dxa"/>
            <w:left w:w="108" w:type="dxa"/>
            <w:bottom w:w="0" w:type="dxa"/>
            <w:right w:w="108" w:type="dxa"/>
          </w:tblCellMar>
        </w:tblPrEx>
        <w:trPr>
          <w:trHeight w:val="4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19068758">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4AAEA1F">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62294B3D">
            <w:pPr>
              <w:widowControl/>
              <w:spacing w:line="240" w:lineRule="exact"/>
              <w:jc w:val="center"/>
              <w:rPr>
                <w:rFonts w:eastAsia="仿宋_GB2312"/>
                <w:kern w:val="0"/>
                <w:sz w:val="18"/>
                <w:szCs w:val="18"/>
              </w:rPr>
            </w:pPr>
            <w:r>
              <w:rPr>
                <w:rFonts w:eastAsia="仿宋_GB2312"/>
                <w:kern w:val="0"/>
                <w:sz w:val="18"/>
                <w:szCs w:val="18"/>
              </w:rPr>
              <w:t>社会效益</w:t>
            </w:r>
          </w:p>
          <w:p w14:paraId="0B774303">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14:paraId="4AA4836F">
            <w:pPr>
              <w:widowControl/>
              <w:spacing w:line="240" w:lineRule="exact"/>
              <w:jc w:val="left"/>
              <w:rPr>
                <w:rFonts w:hint="eastAsia" w:eastAsia="仿宋_GB2312"/>
                <w:kern w:val="0"/>
                <w:sz w:val="18"/>
                <w:szCs w:val="18"/>
                <w:lang w:val="en-US" w:eastAsia="zh-CN"/>
              </w:rPr>
            </w:pPr>
          </w:p>
        </w:tc>
        <w:tc>
          <w:tcPr>
            <w:tcW w:w="850" w:type="dxa"/>
            <w:tcBorders>
              <w:top w:val="nil"/>
              <w:left w:val="nil"/>
              <w:bottom w:val="single" w:color="auto" w:sz="4" w:space="0"/>
              <w:right w:val="single" w:color="auto" w:sz="4" w:space="0"/>
            </w:tcBorders>
            <w:noWrap w:val="0"/>
            <w:vAlign w:val="center"/>
          </w:tcPr>
          <w:p w14:paraId="5C8C1762">
            <w:pPr>
              <w:widowControl/>
              <w:spacing w:line="240" w:lineRule="exact"/>
              <w:jc w:val="left"/>
              <w:rPr>
                <w:rFonts w:hint="eastAsia" w:eastAsia="仿宋_GB2312"/>
                <w:kern w:val="0"/>
                <w:sz w:val="18"/>
                <w:szCs w:val="18"/>
                <w:lang w:val="en-US" w:eastAsia="zh-CN"/>
              </w:rPr>
            </w:pPr>
          </w:p>
        </w:tc>
        <w:tc>
          <w:tcPr>
            <w:tcW w:w="851" w:type="dxa"/>
            <w:tcBorders>
              <w:top w:val="nil"/>
              <w:left w:val="nil"/>
              <w:bottom w:val="single" w:color="auto" w:sz="4" w:space="0"/>
              <w:right w:val="single" w:color="auto" w:sz="4" w:space="0"/>
            </w:tcBorders>
            <w:noWrap w:val="0"/>
            <w:vAlign w:val="center"/>
          </w:tcPr>
          <w:p w14:paraId="2CB26B49">
            <w:pPr>
              <w:widowControl/>
              <w:spacing w:line="240" w:lineRule="exact"/>
              <w:jc w:val="left"/>
              <w:rPr>
                <w:rFonts w:hint="eastAsia"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14:paraId="3E4B3CCA">
            <w:pPr>
              <w:widowControl/>
              <w:spacing w:line="240" w:lineRule="exact"/>
              <w:jc w:val="center"/>
              <w:rPr>
                <w:rFonts w:hint="default"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14:paraId="54F4A0BE">
            <w:pPr>
              <w:widowControl/>
              <w:spacing w:line="240" w:lineRule="exact"/>
              <w:jc w:val="center"/>
              <w:rPr>
                <w:rFonts w:hint="default" w:eastAsia="仿宋_GB2312"/>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14:paraId="16F32CC8">
            <w:pPr>
              <w:widowControl/>
              <w:spacing w:line="240" w:lineRule="exact"/>
              <w:jc w:val="center"/>
              <w:rPr>
                <w:rFonts w:eastAsia="仿宋_GB2312"/>
                <w:kern w:val="0"/>
                <w:sz w:val="18"/>
                <w:szCs w:val="18"/>
              </w:rPr>
            </w:pPr>
          </w:p>
        </w:tc>
      </w:tr>
      <w:tr w14:paraId="71A486DA">
        <w:tblPrEx>
          <w:tblCellMar>
            <w:top w:w="0" w:type="dxa"/>
            <w:left w:w="108" w:type="dxa"/>
            <w:bottom w:w="0" w:type="dxa"/>
            <w:right w:w="108" w:type="dxa"/>
          </w:tblCellMar>
        </w:tblPrEx>
        <w:trPr>
          <w:trHeight w:val="45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78DF9D21">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ACE7951">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5A8E9602">
            <w:pPr>
              <w:widowControl/>
              <w:spacing w:line="240" w:lineRule="exact"/>
              <w:jc w:val="center"/>
              <w:rPr>
                <w:rFonts w:eastAsia="仿宋_GB2312"/>
                <w:kern w:val="0"/>
                <w:sz w:val="18"/>
                <w:szCs w:val="18"/>
              </w:rPr>
            </w:pPr>
            <w:r>
              <w:rPr>
                <w:rFonts w:eastAsia="仿宋_GB2312"/>
                <w:kern w:val="0"/>
                <w:sz w:val="18"/>
                <w:szCs w:val="18"/>
              </w:rPr>
              <w:t>生态效益</w:t>
            </w:r>
          </w:p>
          <w:p w14:paraId="684A79FD">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14:paraId="7E2D666C">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14:paraId="7444FF63">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14:paraId="61494A05">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3E9879BB">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75FF376C">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30E755C4">
            <w:pPr>
              <w:widowControl/>
              <w:spacing w:line="240" w:lineRule="exact"/>
              <w:jc w:val="center"/>
              <w:rPr>
                <w:rFonts w:eastAsia="仿宋_GB2312"/>
                <w:kern w:val="0"/>
                <w:sz w:val="18"/>
                <w:szCs w:val="18"/>
              </w:rPr>
            </w:pPr>
          </w:p>
        </w:tc>
      </w:tr>
      <w:tr w14:paraId="6A1B0B65">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1AC1B61F">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6A7C4C74">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20DD073F">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14:paraId="11635A29">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14:paraId="48614ECD">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14:paraId="0C8B1EF2">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0C3F8A8F">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53439491">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11007583">
            <w:pPr>
              <w:widowControl/>
              <w:spacing w:line="240" w:lineRule="exact"/>
              <w:jc w:val="center"/>
              <w:rPr>
                <w:rFonts w:eastAsia="仿宋_GB2312"/>
                <w:kern w:val="0"/>
                <w:sz w:val="18"/>
                <w:szCs w:val="18"/>
              </w:rPr>
            </w:pPr>
          </w:p>
        </w:tc>
      </w:tr>
      <w:tr w14:paraId="4506208E">
        <w:tblPrEx>
          <w:tblCellMar>
            <w:top w:w="0" w:type="dxa"/>
            <w:left w:w="108" w:type="dxa"/>
            <w:bottom w:w="0" w:type="dxa"/>
            <w:right w:w="108" w:type="dxa"/>
          </w:tblCellMar>
        </w:tblPrEx>
        <w:trPr>
          <w:trHeight w:val="7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76019F58">
            <w:pPr>
              <w:widowControl/>
              <w:jc w:val="left"/>
              <w:rPr>
                <w:kern w:val="0"/>
                <w:sz w:val="18"/>
                <w:szCs w:val="18"/>
              </w:rPr>
            </w:pPr>
          </w:p>
        </w:tc>
        <w:tc>
          <w:tcPr>
            <w:tcW w:w="980" w:type="dxa"/>
            <w:tcBorders>
              <w:top w:val="nil"/>
              <w:left w:val="single" w:color="auto" w:sz="4" w:space="0"/>
              <w:bottom w:val="single" w:color="auto" w:sz="4" w:space="0"/>
              <w:right w:val="single" w:color="auto" w:sz="4" w:space="0"/>
            </w:tcBorders>
            <w:noWrap w:val="0"/>
            <w:vAlign w:val="center"/>
          </w:tcPr>
          <w:p w14:paraId="2B8C97E6">
            <w:pPr>
              <w:widowControl/>
              <w:spacing w:line="240" w:lineRule="exact"/>
              <w:jc w:val="center"/>
              <w:rPr>
                <w:rFonts w:eastAsia="楷体_GB2312"/>
                <w:kern w:val="0"/>
                <w:sz w:val="18"/>
                <w:szCs w:val="18"/>
              </w:rPr>
            </w:pPr>
            <w:r>
              <w:rPr>
                <w:rFonts w:eastAsia="楷体_GB2312"/>
                <w:kern w:val="0"/>
                <w:sz w:val="18"/>
                <w:szCs w:val="18"/>
              </w:rPr>
              <w:t>满意度</w:t>
            </w:r>
          </w:p>
          <w:p w14:paraId="2BC9F0A0">
            <w:pPr>
              <w:widowControl/>
              <w:spacing w:line="240" w:lineRule="exact"/>
              <w:jc w:val="center"/>
              <w:rPr>
                <w:kern w:val="0"/>
                <w:sz w:val="18"/>
                <w:szCs w:val="18"/>
              </w:rPr>
            </w:pPr>
            <w:r>
              <w:rPr>
                <w:rFonts w:eastAsia="楷体_GB2312"/>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14:paraId="376D505F">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14:paraId="285C9B65">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基层党员干部队伍和驻村第一书记的满意度</w:t>
            </w:r>
          </w:p>
        </w:tc>
        <w:tc>
          <w:tcPr>
            <w:tcW w:w="850" w:type="dxa"/>
            <w:tcBorders>
              <w:top w:val="nil"/>
              <w:left w:val="nil"/>
              <w:bottom w:val="single" w:color="auto" w:sz="4" w:space="0"/>
              <w:right w:val="single" w:color="auto" w:sz="4" w:space="0"/>
            </w:tcBorders>
            <w:noWrap w:val="0"/>
            <w:vAlign w:val="center"/>
          </w:tcPr>
          <w:p w14:paraId="5ADF2F12">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14:paraId="1965BF27">
            <w:pPr>
              <w:widowControl/>
              <w:spacing w:line="240" w:lineRule="exact"/>
              <w:jc w:val="center"/>
              <w:rPr>
                <w:rFonts w:eastAsia="仿宋_GB2312"/>
                <w:kern w:val="0"/>
                <w:sz w:val="18"/>
                <w:szCs w:val="18"/>
              </w:rPr>
            </w:pPr>
            <w:r>
              <w:rPr>
                <w:rFonts w:hint="eastAsia" w:eastAsia="仿宋_GB2312"/>
                <w:kern w:val="0"/>
                <w:sz w:val="18"/>
                <w:szCs w:val="18"/>
                <w:lang w:val="en-US" w:eastAsia="zh-CN"/>
              </w:rPr>
              <w:t>≥90%</w:t>
            </w:r>
          </w:p>
        </w:tc>
        <w:tc>
          <w:tcPr>
            <w:tcW w:w="567" w:type="dxa"/>
            <w:gridSpan w:val="2"/>
            <w:tcBorders>
              <w:top w:val="nil"/>
              <w:left w:val="nil"/>
              <w:bottom w:val="single" w:color="auto" w:sz="4" w:space="0"/>
              <w:right w:val="single" w:color="auto" w:sz="4" w:space="0"/>
            </w:tcBorders>
            <w:noWrap w:val="0"/>
            <w:vAlign w:val="center"/>
          </w:tcPr>
          <w:p w14:paraId="0F645EA5">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7CC612D6">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3D751C5E">
            <w:pPr>
              <w:widowControl/>
              <w:spacing w:line="240" w:lineRule="exact"/>
              <w:jc w:val="center"/>
              <w:rPr>
                <w:rFonts w:eastAsia="仿宋_GB2312"/>
                <w:kern w:val="0"/>
                <w:sz w:val="18"/>
                <w:szCs w:val="18"/>
              </w:rPr>
            </w:pPr>
          </w:p>
        </w:tc>
      </w:tr>
      <w:tr w14:paraId="562B7A65">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14:paraId="5B0F11A9">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14:paraId="6FC377B6">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67" w:type="dxa"/>
            <w:gridSpan w:val="2"/>
            <w:tcBorders>
              <w:top w:val="nil"/>
              <w:left w:val="nil"/>
              <w:bottom w:val="single" w:color="auto" w:sz="4" w:space="0"/>
              <w:right w:val="single" w:color="auto" w:sz="4" w:space="0"/>
            </w:tcBorders>
            <w:noWrap w:val="0"/>
            <w:vAlign w:val="center"/>
          </w:tcPr>
          <w:p w14:paraId="593B3FAF">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58</w:t>
            </w:r>
          </w:p>
        </w:tc>
        <w:tc>
          <w:tcPr>
            <w:tcW w:w="1417" w:type="dxa"/>
            <w:gridSpan w:val="2"/>
            <w:tcBorders>
              <w:top w:val="single" w:color="auto" w:sz="4" w:space="0"/>
              <w:left w:val="nil"/>
              <w:bottom w:val="single" w:color="auto" w:sz="4" w:space="0"/>
              <w:right w:val="single" w:color="auto" w:sz="4" w:space="0"/>
            </w:tcBorders>
            <w:noWrap w:val="0"/>
            <w:vAlign w:val="center"/>
          </w:tcPr>
          <w:p w14:paraId="346EE4CE">
            <w:pPr>
              <w:widowControl/>
              <w:spacing w:line="240" w:lineRule="exact"/>
              <w:jc w:val="center"/>
              <w:rPr>
                <w:kern w:val="0"/>
                <w:sz w:val="18"/>
                <w:szCs w:val="18"/>
              </w:rPr>
            </w:pPr>
          </w:p>
        </w:tc>
      </w:tr>
    </w:tbl>
    <w:p w14:paraId="50B4F86E">
      <w:pPr>
        <w:spacing w:line="560" w:lineRule="exact"/>
        <w:rPr>
          <w:rFonts w:hint="eastAsia" w:ascii="仿宋" w:hAnsi="仿宋" w:eastAsia="仿宋"/>
          <w:sz w:val="32"/>
          <w:szCs w:val="32"/>
        </w:rPr>
      </w:pPr>
    </w:p>
    <w:p w14:paraId="33B46199">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14:paraId="064BAE54">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（一）、项目决策情况分析：根据此项资金的</w:t>
      </w:r>
      <w:r>
        <w:rPr>
          <w:rFonts w:hint="eastAsia" w:ascii="仿宋" w:hAnsi="仿宋" w:eastAsia="仿宋"/>
          <w:sz w:val="32"/>
          <w:szCs w:val="32"/>
          <w:lang w:val="en-US" w:eastAsia="zh-CN"/>
        </w:rPr>
        <w:t>总金额</w:t>
      </w:r>
      <w:r>
        <w:rPr>
          <w:rFonts w:hint="eastAsia" w:ascii="仿宋" w:hAnsi="仿宋" w:eastAsia="仿宋"/>
          <w:sz w:val="32"/>
          <w:szCs w:val="32"/>
        </w:rPr>
        <w:t>，</w:t>
      </w:r>
      <w:r>
        <w:rPr>
          <w:rFonts w:hint="eastAsia" w:ascii="仿宋" w:hAnsi="仿宋" w:eastAsia="仿宋"/>
          <w:sz w:val="32"/>
          <w:szCs w:val="32"/>
          <w:lang w:val="en-US" w:eastAsia="zh-CN"/>
        </w:rPr>
        <w:t>按照年初工作要点、工作计划以及相关文件精神，将此笔款进行划分。</w:t>
      </w:r>
    </w:p>
    <w:p w14:paraId="2543E1A6">
      <w:pPr>
        <w:numPr>
          <w:ilvl w:val="0"/>
          <w:numId w:val="0"/>
        </w:num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二</w:t>
      </w:r>
      <w:r>
        <w:rPr>
          <w:rFonts w:hint="eastAsia" w:ascii="仿宋" w:hAnsi="仿宋" w:eastAsia="仿宋"/>
          <w:sz w:val="32"/>
          <w:szCs w:val="32"/>
          <w:lang w:eastAsia="zh-CN"/>
        </w:rPr>
        <w:t>）、</w:t>
      </w:r>
      <w:r>
        <w:rPr>
          <w:rFonts w:hint="eastAsia" w:ascii="仿宋" w:hAnsi="仿宋" w:eastAsia="仿宋"/>
          <w:sz w:val="32"/>
          <w:szCs w:val="32"/>
        </w:rPr>
        <w:t>项目过程情况分析：</w:t>
      </w:r>
      <w:r>
        <w:rPr>
          <w:rFonts w:hint="eastAsia" w:ascii="仿宋" w:hAnsi="仿宋" w:eastAsia="仿宋"/>
          <w:sz w:val="32"/>
          <w:szCs w:val="32"/>
          <w:lang w:val="en-US" w:eastAsia="zh-CN"/>
        </w:rPr>
        <w:t>按照年初工作要点和工作计划制定方案，根据文件要求下拨第一书记工作经费和</w:t>
      </w:r>
      <w:r>
        <w:rPr>
          <w:rFonts w:hint="eastAsia" w:ascii="仿宋" w:hAnsi="仿宋" w:eastAsia="仿宋"/>
          <w:sz w:val="32"/>
          <w:szCs w:val="32"/>
        </w:rPr>
        <w:t>农村星级化结果运用经费。</w:t>
      </w:r>
    </w:p>
    <w:p w14:paraId="1759D074">
      <w:pPr>
        <w:numPr>
          <w:ilvl w:val="0"/>
          <w:numId w:val="0"/>
        </w:num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三</w:t>
      </w:r>
      <w:r>
        <w:rPr>
          <w:rFonts w:hint="eastAsia" w:ascii="仿宋" w:hAnsi="仿宋" w:eastAsia="仿宋"/>
          <w:sz w:val="32"/>
          <w:szCs w:val="32"/>
          <w:lang w:eastAsia="zh-CN"/>
        </w:rPr>
        <w:t>）、</w:t>
      </w:r>
      <w:r>
        <w:rPr>
          <w:rFonts w:hint="eastAsia" w:ascii="仿宋" w:hAnsi="仿宋" w:eastAsia="仿宋"/>
          <w:sz w:val="32"/>
          <w:szCs w:val="32"/>
        </w:rPr>
        <w:t>项目产出情况分析：基层办重点工作完成</w:t>
      </w:r>
      <w:r>
        <w:rPr>
          <w:rFonts w:hint="eastAsia" w:ascii="仿宋" w:hAnsi="仿宋" w:eastAsia="仿宋"/>
          <w:sz w:val="32"/>
          <w:szCs w:val="32"/>
          <w:lang w:val="en-US" w:eastAsia="zh-CN"/>
        </w:rPr>
        <w:t>率达到100%。</w:t>
      </w:r>
    </w:p>
    <w:p w14:paraId="6B010E1F">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四</w:t>
      </w:r>
      <w:r>
        <w:rPr>
          <w:rFonts w:hint="eastAsia" w:ascii="仿宋" w:hAnsi="仿宋" w:eastAsia="仿宋"/>
          <w:sz w:val="32"/>
          <w:szCs w:val="32"/>
          <w:lang w:eastAsia="zh-CN"/>
        </w:rPr>
        <w:t>）、</w:t>
      </w:r>
      <w:r>
        <w:rPr>
          <w:rFonts w:hint="eastAsia" w:ascii="仿宋" w:hAnsi="仿宋" w:eastAsia="仿宋"/>
          <w:sz w:val="32"/>
          <w:szCs w:val="32"/>
        </w:rPr>
        <w:t>项目效益情况分析：基层党员干部队伍和驻村第一书记的满意度</w:t>
      </w:r>
      <w:r>
        <w:rPr>
          <w:rFonts w:hint="eastAsia" w:ascii="仿宋" w:hAnsi="仿宋" w:eastAsia="仿宋"/>
          <w:sz w:val="32"/>
          <w:szCs w:val="32"/>
          <w:lang w:val="en-US" w:eastAsia="zh-CN"/>
        </w:rPr>
        <w:t>超过90%。</w:t>
      </w:r>
    </w:p>
    <w:p w14:paraId="078B9B5D">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14:paraId="7407BB35">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40C95A63">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14:paraId="78FFB800">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14:paraId="32285B2A">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14:paraId="3B6D67E4">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14:paraId="3BF47568">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1699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20EB7">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E333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CD400">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24FBE">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3BC27">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A97E9"/>
    <w:multiLevelType w:val="singleLevel"/>
    <w:tmpl w:val="C6AA97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NjdlYzY1OTQxNGM0NjE3Y2E2ZmQ3MGNlNGQ0NzIifQ=="/>
  </w:docVars>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4742490"/>
    <w:rsid w:val="05B32B82"/>
    <w:rsid w:val="127B75B1"/>
    <w:rsid w:val="209F394B"/>
    <w:rsid w:val="2BC76A54"/>
    <w:rsid w:val="416B288E"/>
    <w:rsid w:val="4EF73B6B"/>
    <w:rsid w:val="56E5351C"/>
    <w:rsid w:val="5ED342F9"/>
    <w:rsid w:val="665C0473"/>
    <w:rsid w:val="66EE1A11"/>
    <w:rsid w:val="6E587A51"/>
    <w:rsid w:val="7E5F26B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1320</Words>
  <Characters>1407</Characters>
  <Lines>0</Lines>
  <Paragraphs>0</Paragraphs>
  <TotalTime>1</TotalTime>
  <ScaleCrop>false</ScaleCrop>
  <LinksUpToDate>false</LinksUpToDate>
  <CharactersWithSpaces>1415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此生随梦追</cp:lastModifiedBy>
  <dcterms:modified xsi:type="dcterms:W3CDTF">2024-11-13T03:02:23Z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F49A318253A14AAF8147E128F8CCE918</vt:lpwstr>
  </property>
</Properties>
</file>