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s="宋体"/>
          <w:sz w:val="36"/>
          <w:szCs w:val="44"/>
        </w:rPr>
      </w:pPr>
      <w:bookmarkStart w:id="0" w:name="_GoBack"/>
      <w:r>
        <w:rPr>
          <w:rFonts w:hint="eastAsia" w:ascii="方正小标宋简体" w:hAnsi="宋体" w:eastAsia="方正小标宋简体" w:cs="宋体"/>
          <w:sz w:val="36"/>
          <w:szCs w:val="44"/>
        </w:rPr>
        <w:t>七星区</w:t>
      </w:r>
      <w:r>
        <w:rPr>
          <w:rFonts w:hint="eastAsia" w:ascii="方正小标宋简体" w:hAnsi="宋体" w:eastAsia="方正小标宋简体" w:cs="宋体"/>
          <w:sz w:val="36"/>
          <w:szCs w:val="44"/>
          <w:lang w:val="en-US" w:eastAsia="zh-CN"/>
        </w:rPr>
        <w:t>委组织部人才政策兑现经费</w:t>
      </w:r>
      <w:bookmarkEnd w:id="0"/>
    </w:p>
    <w:p>
      <w:pPr>
        <w:jc w:val="center"/>
        <w:rPr>
          <w:rFonts w:ascii="方正小标宋简体" w:hAnsi="宋体" w:eastAsia="方正小标宋简体" w:cs="宋体"/>
          <w:sz w:val="36"/>
          <w:szCs w:val="44"/>
        </w:rPr>
      </w:pPr>
      <w:r>
        <w:rPr>
          <w:rFonts w:ascii="方正小标宋简体" w:hAnsi="宋体" w:eastAsia="方正小标宋简体" w:cs="宋体"/>
          <w:sz w:val="36"/>
          <w:szCs w:val="44"/>
        </w:rPr>
        <w:t>2021</w:t>
      </w:r>
      <w:r>
        <w:rPr>
          <w:rFonts w:hint="eastAsia" w:ascii="方正小标宋简体" w:hAnsi="宋体" w:eastAsia="方正小标宋简体" w:cs="宋体"/>
          <w:sz w:val="36"/>
          <w:szCs w:val="44"/>
        </w:rPr>
        <w:t>年度绩效自评报告</w:t>
      </w:r>
    </w:p>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一、基本情况</w:t>
      </w:r>
    </w:p>
    <w:p>
      <w:pPr>
        <w:ind w:firstLine="640" w:firstLineChars="200"/>
        <w:rPr>
          <w:rFonts w:ascii="仿宋" w:hAnsi="仿宋" w:eastAsia="仿宋"/>
          <w:bCs/>
          <w:sz w:val="32"/>
          <w:szCs w:val="32"/>
        </w:rPr>
      </w:pPr>
      <w:r>
        <w:rPr>
          <w:rFonts w:hint="eastAsia" w:ascii="仿宋" w:hAnsi="仿宋" w:eastAsia="仿宋"/>
          <w:bCs/>
          <w:sz w:val="32"/>
          <w:szCs w:val="32"/>
        </w:rPr>
        <w:t>（一）项目概况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我单位人才政策兑现经费</w:t>
      </w:r>
      <w:r>
        <w:rPr>
          <w:rFonts w:ascii="仿宋" w:hAnsi="仿宋" w:eastAsia="仿宋"/>
          <w:sz w:val="32"/>
          <w:szCs w:val="32"/>
        </w:rPr>
        <w:t>2021</w:t>
      </w:r>
      <w:r>
        <w:rPr>
          <w:rFonts w:hint="eastAsia" w:ascii="仿宋" w:hAnsi="仿宋" w:eastAsia="仿宋"/>
          <w:sz w:val="32"/>
          <w:szCs w:val="32"/>
        </w:rPr>
        <w:t>年预算</w:t>
      </w:r>
      <w:r>
        <w:rPr>
          <w:rFonts w:hint="eastAsia" w:ascii="仿宋" w:hAnsi="仿宋" w:eastAsia="仿宋"/>
          <w:sz w:val="32"/>
          <w:szCs w:val="32"/>
          <w:lang w:val="en-US" w:eastAsia="zh-CN"/>
        </w:rPr>
        <w:t>260</w:t>
      </w:r>
      <w:r>
        <w:rPr>
          <w:rFonts w:hint="eastAsia" w:ascii="仿宋" w:hAnsi="仿宋" w:eastAsia="仿宋"/>
          <w:sz w:val="32"/>
          <w:szCs w:val="32"/>
        </w:rPr>
        <w:t>万元，其构成是：地方补助</w:t>
      </w:r>
      <w:r>
        <w:rPr>
          <w:rFonts w:hint="eastAsia" w:ascii="仿宋" w:hAnsi="仿宋" w:eastAsia="仿宋"/>
          <w:sz w:val="32"/>
          <w:szCs w:val="32"/>
          <w:lang w:val="en-US" w:eastAsia="zh-CN"/>
        </w:rPr>
        <w:t>260</w:t>
      </w:r>
      <w:r>
        <w:rPr>
          <w:rFonts w:hint="eastAsia" w:ascii="仿宋" w:hAnsi="仿宋" w:eastAsia="仿宋"/>
          <w:sz w:val="32"/>
          <w:szCs w:val="32"/>
        </w:rPr>
        <w:t>万元，全部为地方本级预算。</w:t>
      </w:r>
    </w:p>
    <w:p>
      <w:pPr>
        <w:spacing w:line="560" w:lineRule="exact"/>
        <w:ind w:firstLine="640" w:firstLineChars="200"/>
        <w:rPr>
          <w:rFonts w:ascii="仿宋" w:hAnsi="仿宋" w:eastAsia="仿宋"/>
          <w:bCs/>
          <w:sz w:val="32"/>
          <w:szCs w:val="32"/>
        </w:rPr>
      </w:pPr>
      <w:r>
        <w:rPr>
          <w:rFonts w:hint="eastAsia" w:ascii="仿宋" w:hAnsi="仿宋" w:eastAsia="仿宋"/>
          <w:bCs/>
          <w:sz w:val="32"/>
          <w:szCs w:val="32"/>
        </w:rPr>
        <w:t>（二）项目绩效目标</w:t>
      </w:r>
    </w:p>
    <w:p>
      <w:pPr>
        <w:spacing w:line="56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总体目标：2021年人才工作正常开展，重点工作完成率达95%以上</w:t>
      </w:r>
      <w:r>
        <w:rPr>
          <w:rFonts w:hint="eastAsia" w:ascii="仿宋" w:hAnsi="仿宋" w:eastAsia="仿宋" w:cs="宋体"/>
          <w:kern w:val="0"/>
          <w:sz w:val="32"/>
          <w:szCs w:val="32"/>
          <w:lang w:eastAsia="zh-CN"/>
        </w:rPr>
        <w:t>。</w:t>
      </w:r>
    </w:p>
    <w:p>
      <w:pPr>
        <w:spacing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阶段性目标：完成上级下达的各项培训、会议、平台建设任务，重点工作完成率达95%以上</w:t>
      </w:r>
      <w:r>
        <w:rPr>
          <w:rFonts w:hint="eastAsia" w:ascii="仿宋" w:hAnsi="仿宋" w:eastAsia="仿宋"/>
          <w:sz w:val="32"/>
          <w:szCs w:val="32"/>
          <w:lang w:eastAsia="zh-CN"/>
        </w:rPr>
        <w:t>。</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二、绩效自评工作开展情况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（一）绩效评价目的、对象和范围。主要</w:t>
      </w:r>
      <w:r>
        <w:rPr>
          <w:rFonts w:hint="eastAsia" w:ascii="仿宋" w:hAnsi="仿宋" w:eastAsia="仿宋" w:cs="宋体"/>
          <w:kern w:val="0"/>
          <w:sz w:val="32"/>
          <w:szCs w:val="32"/>
        </w:rPr>
        <w:t>用于</w:t>
      </w:r>
      <w:r>
        <w:rPr>
          <w:rFonts w:hint="eastAsia" w:ascii="仿宋" w:hAnsi="仿宋" w:eastAsia="仿宋" w:cs="宋体"/>
          <w:kern w:val="0"/>
          <w:sz w:val="32"/>
          <w:szCs w:val="32"/>
          <w:lang w:val="en-US" w:eastAsia="zh-CN"/>
        </w:rPr>
        <w:t>人才工作日常办公开支，人才兑现福利以及人才培训开支</w:t>
      </w:r>
      <w:r>
        <w:rPr>
          <w:rFonts w:hint="eastAsia" w:ascii="仿宋" w:hAnsi="仿宋" w:eastAsia="仿宋" w:cs="宋体"/>
          <w:kern w:val="0"/>
          <w:sz w:val="32"/>
          <w:szCs w:val="32"/>
        </w:rPr>
        <w:t>。</w:t>
      </w:r>
      <w:r>
        <w:rPr>
          <w:rFonts w:hint="eastAsia" w:ascii="仿宋" w:hAnsi="仿宋" w:eastAsia="仿宋" w:cs="宋体"/>
          <w:kern w:val="0"/>
          <w:sz w:val="32"/>
          <w:szCs w:val="32"/>
          <w:lang w:val="en-US" w:eastAsia="zh-CN"/>
        </w:rPr>
        <w:t>其中办公费5万元，用于人才工作日常办公开支，印刷费2万元，用于开展各项活动印刷开支，培训费102万元，用于人才培训开支，福利费4万元，用于重大节日慰问人才，生活补助147万元，用于兑现人才福利</w:t>
      </w:r>
      <w:r>
        <w:rPr>
          <w:rFonts w:hint="eastAsia" w:ascii="仿宋" w:hAnsi="仿宋" w:eastAsia="仿宋"/>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（二）绩效评价原则、评价指标体系、评价方法、评价标准等</w:t>
      </w:r>
    </w:p>
    <w:p>
      <w:pPr>
        <w:spacing w:line="560" w:lineRule="exact"/>
        <w:ind w:firstLine="640" w:firstLineChars="200"/>
        <w:rPr>
          <w:rFonts w:ascii="仿宋_GB2312" w:hAnsi="仿宋_GB2312" w:eastAsia="仿宋_GB2312" w:cs="仿宋_GB2312"/>
          <w:sz w:val="32"/>
          <w:szCs w:val="32"/>
        </w:rPr>
      </w:pPr>
      <w:r>
        <w:rPr>
          <w:rFonts w:hint="eastAsia" w:ascii="仿宋" w:hAnsi="仿宋" w:eastAsia="仿宋"/>
          <w:sz w:val="32"/>
          <w:szCs w:val="32"/>
        </w:rPr>
        <w:t>绩效评价原则、评价指标体系、评价方法、评价标准都是根据</w:t>
      </w:r>
      <w:r>
        <w:rPr>
          <w:rFonts w:hint="eastAsia" w:ascii="仿宋_GB2312" w:hAnsi="仿宋_GB2312" w:eastAsia="仿宋_GB2312" w:cs="仿宋_GB2312"/>
          <w:sz w:val="32"/>
          <w:szCs w:val="32"/>
        </w:rPr>
        <w:t>《中华人民共和国预算法》《中共广西壮族自治区委员会广西壮族自治区人民政府关于全面实施预算绩效管理的实施意见》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桂发〔</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以及《桂林市七星区项目支出绩效评价管理办法》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星财字〔</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等文件要求进行自评。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（三）绩效评价工作过程。根据此项资金的</w:t>
      </w:r>
      <w:r>
        <w:rPr>
          <w:rFonts w:hint="eastAsia" w:ascii="仿宋" w:hAnsi="仿宋" w:eastAsia="仿宋"/>
          <w:sz w:val="32"/>
          <w:szCs w:val="32"/>
          <w:lang w:val="en-US" w:eastAsia="zh-CN"/>
        </w:rPr>
        <w:t>支出金额</w:t>
      </w:r>
      <w:r>
        <w:rPr>
          <w:rFonts w:hint="eastAsia" w:ascii="仿宋" w:hAnsi="仿宋" w:eastAsia="仿宋"/>
          <w:sz w:val="32"/>
          <w:szCs w:val="32"/>
        </w:rPr>
        <w:t>，我</w:t>
      </w:r>
      <w:r>
        <w:rPr>
          <w:rFonts w:hint="eastAsia" w:ascii="仿宋" w:hAnsi="仿宋" w:eastAsia="仿宋"/>
          <w:sz w:val="32"/>
          <w:szCs w:val="32"/>
          <w:lang w:val="en-US" w:eastAsia="zh-CN"/>
        </w:rPr>
        <w:t>部</w:t>
      </w:r>
      <w:r>
        <w:rPr>
          <w:rFonts w:hint="eastAsia" w:ascii="仿宋" w:hAnsi="仿宋" w:eastAsia="仿宋"/>
          <w:sz w:val="32"/>
          <w:szCs w:val="32"/>
        </w:rPr>
        <w:t>组织</w:t>
      </w:r>
      <w:r>
        <w:rPr>
          <w:rFonts w:hint="eastAsia" w:ascii="仿宋" w:hAnsi="仿宋" w:eastAsia="仿宋"/>
          <w:sz w:val="32"/>
          <w:szCs w:val="32"/>
          <w:lang w:val="en-US" w:eastAsia="zh-CN"/>
        </w:rPr>
        <w:t>相关</w:t>
      </w:r>
      <w:r>
        <w:rPr>
          <w:rFonts w:hint="eastAsia" w:ascii="仿宋" w:hAnsi="仿宋" w:eastAsia="仿宋"/>
          <w:sz w:val="32"/>
          <w:szCs w:val="32"/>
        </w:rPr>
        <w:t>部门开会，</w:t>
      </w:r>
      <w:r>
        <w:rPr>
          <w:rFonts w:hint="eastAsia" w:ascii="仿宋" w:hAnsi="仿宋" w:eastAsia="仿宋"/>
          <w:sz w:val="32"/>
          <w:szCs w:val="32"/>
          <w:lang w:val="en-US" w:eastAsia="zh-CN"/>
        </w:rPr>
        <w:t>根据各项工作需求将此笔款项进行划分，并按时开展活动，支付人才补助</w:t>
      </w:r>
      <w:r>
        <w:rPr>
          <w:rFonts w:hint="eastAsia" w:ascii="仿宋" w:hAnsi="仿宋" w:eastAsia="仿宋"/>
          <w:sz w:val="32"/>
          <w:szCs w:val="32"/>
        </w:rPr>
        <w:t>。</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三、综合评价情况及评价结论。</w:t>
      </w:r>
    </w:p>
    <w:p>
      <w:pPr>
        <w:spacing w:line="560" w:lineRule="exact"/>
        <w:ind w:firstLine="640" w:firstLineChars="200"/>
        <w:rPr>
          <w:rFonts w:hint="eastAsia" w:ascii="仿宋" w:hAnsi="仿宋" w:eastAsia="仿宋"/>
          <w:sz w:val="32"/>
          <w:szCs w:val="32"/>
        </w:rPr>
      </w:pPr>
    </w:p>
    <w:tbl>
      <w:tblPr>
        <w:tblStyle w:val="4"/>
        <w:tblW w:w="9080" w:type="dxa"/>
        <w:jc w:val="center"/>
        <w:tblLayout w:type="fixed"/>
        <w:tblCellMar>
          <w:top w:w="0" w:type="dxa"/>
          <w:left w:w="108" w:type="dxa"/>
          <w:bottom w:w="0" w:type="dxa"/>
          <w:right w:w="108" w:type="dxa"/>
        </w:tblCellMar>
      </w:tblPr>
      <w:tblGrid>
        <w:gridCol w:w="588"/>
        <w:gridCol w:w="980"/>
        <w:gridCol w:w="1112"/>
        <w:gridCol w:w="730"/>
        <w:gridCol w:w="1134"/>
        <w:gridCol w:w="230"/>
        <w:gridCol w:w="960"/>
        <w:gridCol w:w="864"/>
        <w:gridCol w:w="214"/>
        <w:gridCol w:w="434"/>
        <w:gridCol w:w="275"/>
        <w:gridCol w:w="313"/>
        <w:gridCol w:w="538"/>
        <w:gridCol w:w="708"/>
      </w:tblGrid>
      <w:tr>
        <w:tblPrEx>
          <w:tblCellMar>
            <w:top w:w="0" w:type="dxa"/>
            <w:left w:w="108" w:type="dxa"/>
            <w:bottom w:w="0" w:type="dxa"/>
            <w:right w:w="108" w:type="dxa"/>
          </w:tblCellMar>
        </w:tblPrEx>
        <w:trPr>
          <w:trHeight w:val="454" w:hRule="atLeast"/>
          <w:jc w:val="center"/>
        </w:trPr>
        <w:tc>
          <w:tcPr>
            <w:tcW w:w="9080" w:type="dxa"/>
            <w:gridSpan w:val="14"/>
            <w:noWrap w:val="0"/>
            <w:vAlign w:val="center"/>
          </w:tcPr>
          <w:p>
            <w:pPr>
              <w:widowControl/>
              <w:spacing w:line="320" w:lineRule="exact"/>
              <w:jc w:val="center"/>
              <w:rPr>
                <w:rFonts w:eastAsia="方正小标宋简体"/>
                <w:bCs/>
                <w:kern w:val="0"/>
                <w:sz w:val="32"/>
                <w:szCs w:val="32"/>
              </w:rPr>
            </w:pPr>
            <w:r>
              <w:rPr>
                <w:rFonts w:eastAsia="方正小标宋简体"/>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noWrap w:val="0"/>
            <w:vAlign w:val="top"/>
          </w:tcPr>
          <w:p>
            <w:pPr>
              <w:widowControl/>
              <w:jc w:val="center"/>
              <w:rPr>
                <w:rFonts w:eastAsia="楷体_GB2312"/>
                <w:kern w:val="0"/>
                <w:sz w:val="22"/>
                <w:szCs w:val="22"/>
              </w:rPr>
            </w:pPr>
            <w:r>
              <w:rPr>
                <w:rFonts w:eastAsia="楷体_GB2312"/>
                <w:kern w:val="0"/>
                <w:sz w:val="22"/>
                <w:szCs w:val="22"/>
              </w:rPr>
              <w:t>（</w:t>
            </w:r>
            <w:r>
              <w:rPr>
                <w:rFonts w:hint="eastAsia" w:eastAsia="楷体_GB2312"/>
                <w:kern w:val="0"/>
                <w:sz w:val="22"/>
                <w:szCs w:val="22"/>
                <w:lang w:val="en-US" w:eastAsia="zh-CN"/>
              </w:rPr>
              <w:t>2021</w:t>
            </w:r>
            <w:r>
              <w:rPr>
                <w:rFonts w:eastAsia="楷体_GB2312"/>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rPr>
              <w:t>人才政策兑现经费</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主管部门</w:t>
            </w:r>
          </w:p>
        </w:tc>
        <w:tc>
          <w:tcPr>
            <w:tcW w:w="416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项目资金</w:t>
            </w:r>
            <w:r>
              <w:rPr>
                <w:rFonts w:eastAsia="黑体"/>
                <w:kern w:val="0"/>
                <w:sz w:val="18"/>
                <w:szCs w:val="18"/>
              </w:rPr>
              <w:br w:type="textWrapping"/>
            </w:r>
            <w:r>
              <w:rPr>
                <w:rFonts w:hAnsi="黑体" w:eastAsia="黑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年初预算数</w:t>
            </w: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全年预算数</w:t>
            </w: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eastAsia="仿宋_GB2312"/>
                <w:kern w:val="0"/>
                <w:sz w:val="18"/>
                <w:szCs w:val="18"/>
              </w:rPr>
            </w:pPr>
            <w:r>
              <w:rPr>
                <w:rFonts w:eastAsia="仿宋_GB2312"/>
                <w:kern w:val="0"/>
                <w:sz w:val="18"/>
                <w:szCs w:val="18"/>
              </w:rPr>
              <w:t>年度资金</w:t>
            </w:r>
            <w:r>
              <w:rPr>
                <w:rFonts w:hint="eastAsia" w:eastAsia="仿宋_GB2312"/>
                <w:kern w:val="0"/>
                <w:sz w:val="18"/>
                <w:szCs w:val="18"/>
                <w:lang w:val="en-US" w:eastAsia="zh-CN"/>
              </w:rPr>
              <w:t>总额</w:t>
            </w:r>
          </w:p>
        </w:tc>
        <w:tc>
          <w:tcPr>
            <w:tcW w:w="1134" w:type="dxa"/>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260万</w:t>
            </w: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260万</w:t>
            </w: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kern w:val="0"/>
                <w:sz w:val="18"/>
                <w:szCs w:val="18"/>
                <w:lang w:val="en-US" w:eastAsia="zh-CN"/>
              </w:rPr>
            </w:pPr>
            <w:r>
              <w:rPr>
                <w:rFonts w:hint="eastAsia"/>
                <w:kern w:val="0"/>
                <w:sz w:val="18"/>
                <w:szCs w:val="18"/>
                <w:lang w:val="en-US" w:eastAsia="zh-CN"/>
              </w:rPr>
              <w:t>259.95万</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lang w:val="en-US" w:eastAsia="zh-CN"/>
              </w:rPr>
            </w:pPr>
            <w:r>
              <w:rPr>
                <w:rFonts w:hint="eastAsia"/>
                <w:kern w:val="0"/>
                <w:sz w:val="18"/>
                <w:szCs w:val="18"/>
                <w:lang w:val="en-US" w:eastAsia="zh-CN"/>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99.98%</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年度总体目标</w:t>
            </w:r>
          </w:p>
        </w:tc>
        <w:tc>
          <w:tcPr>
            <w:tcW w:w="5146"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预期目标</w:t>
            </w:r>
          </w:p>
        </w:tc>
        <w:tc>
          <w:tcPr>
            <w:tcW w:w="334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实际完成情况</w:t>
            </w:r>
          </w:p>
        </w:tc>
      </w:tr>
      <w:tr>
        <w:tblPrEx>
          <w:tblCellMar>
            <w:top w:w="0" w:type="dxa"/>
            <w:left w:w="108" w:type="dxa"/>
            <w:bottom w:w="0" w:type="dxa"/>
            <w:right w:w="108" w:type="dxa"/>
          </w:tblCellMar>
        </w:tblPrEx>
        <w:trPr>
          <w:trHeight w:val="100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5146"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确保2021年人才工作正常开展，完成上级下达的各项培训、会议、平台建设任务，重点工作完成率达95%以上</w:t>
            </w:r>
          </w:p>
        </w:tc>
        <w:tc>
          <w:tcPr>
            <w:tcW w:w="334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eastAsia="宋体"/>
                <w:kern w:val="0"/>
                <w:sz w:val="18"/>
                <w:szCs w:val="18"/>
                <w:lang w:val="en-US" w:eastAsia="zh-CN"/>
              </w:rPr>
            </w:pPr>
            <w:r>
              <w:rPr>
                <w:rFonts w:hint="eastAsia"/>
                <w:kern w:val="0"/>
                <w:sz w:val="18"/>
                <w:szCs w:val="18"/>
              </w:rPr>
              <w:t>2021年人才工作正常开展，重点工作完成率达95%以上</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绩</w:t>
            </w:r>
            <w:r>
              <w:rPr>
                <w:rFonts w:eastAsia="黑体"/>
                <w:kern w:val="0"/>
                <w:sz w:val="18"/>
                <w:szCs w:val="18"/>
              </w:rPr>
              <w:br w:type="textWrapping"/>
            </w:r>
            <w:r>
              <w:rPr>
                <w:rFonts w:hAnsi="黑体" w:eastAsia="黑体"/>
                <w:kern w:val="0"/>
                <w:sz w:val="18"/>
                <w:szCs w:val="18"/>
              </w:rPr>
              <w:t>效</w:t>
            </w:r>
            <w:r>
              <w:rPr>
                <w:rFonts w:eastAsia="黑体"/>
                <w:kern w:val="0"/>
                <w:sz w:val="18"/>
                <w:szCs w:val="18"/>
              </w:rPr>
              <w:br w:type="textWrapping"/>
            </w:r>
            <w:r>
              <w:rPr>
                <w:rFonts w:hAnsi="黑体" w:eastAsia="黑体"/>
                <w:kern w:val="0"/>
                <w:sz w:val="18"/>
                <w:szCs w:val="18"/>
              </w:rPr>
              <w:t>指</w:t>
            </w:r>
            <w:r>
              <w:rPr>
                <w:rFonts w:eastAsia="黑体"/>
                <w:kern w:val="0"/>
                <w:sz w:val="18"/>
                <w:szCs w:val="18"/>
              </w:rPr>
              <w:br w:type="textWrapping"/>
            </w:r>
            <w:r>
              <w:rPr>
                <w:rFonts w:hAnsi="黑体" w:eastAsia="黑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二级指标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三级指标</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年度</w:t>
            </w:r>
          </w:p>
          <w:p>
            <w:pPr>
              <w:widowControl/>
              <w:spacing w:line="240" w:lineRule="exact"/>
              <w:jc w:val="center"/>
              <w:rPr>
                <w:rFonts w:eastAsia="楷体_GB2312"/>
                <w:kern w:val="0"/>
                <w:sz w:val="18"/>
                <w:szCs w:val="18"/>
              </w:rPr>
            </w:pPr>
            <w:r>
              <w:rPr>
                <w:rFonts w:eastAsia="楷体_GB2312"/>
                <w:kern w:val="0"/>
                <w:sz w:val="18"/>
                <w:szCs w:val="18"/>
              </w:rPr>
              <w:t>指标值</w:t>
            </w: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实际</w:t>
            </w:r>
          </w:p>
          <w:p>
            <w:pPr>
              <w:widowControl/>
              <w:spacing w:line="240" w:lineRule="exact"/>
              <w:jc w:val="center"/>
              <w:rPr>
                <w:rFonts w:eastAsia="楷体_GB2312"/>
                <w:kern w:val="0"/>
                <w:sz w:val="18"/>
                <w:szCs w:val="18"/>
              </w:rPr>
            </w:pPr>
            <w:r>
              <w:rPr>
                <w:rFonts w:eastAsia="楷体_GB2312"/>
                <w:kern w:val="0"/>
                <w:sz w:val="18"/>
                <w:szCs w:val="18"/>
              </w:rPr>
              <w:t>完成值</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分值</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得分</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偏差原因分析及改进措施</w:t>
            </w:r>
          </w:p>
        </w:tc>
      </w:tr>
      <w:tr>
        <w:tblPrEx>
          <w:tblCellMar>
            <w:top w:w="0" w:type="dxa"/>
            <w:left w:w="108" w:type="dxa"/>
            <w:bottom w:w="0" w:type="dxa"/>
            <w:right w:w="108" w:type="dxa"/>
          </w:tblCellMar>
        </w:tblPrEx>
        <w:trPr>
          <w:trHeight w:val="54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数量指标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rPr>
              <w:t>人才重点项目数量</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≤3个</w:t>
            </w: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3</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r>
      <w:tr>
        <w:tblPrEx>
          <w:tblCellMar>
            <w:top w:w="0" w:type="dxa"/>
            <w:left w:w="108" w:type="dxa"/>
            <w:bottom w:w="0" w:type="dxa"/>
            <w:right w:w="108" w:type="dxa"/>
          </w:tblCellMar>
        </w:tblPrEx>
        <w:trPr>
          <w:trHeight w:val="388"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质量指标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rPr>
              <w:t>人才重点项目完成率</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70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时效指标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default" w:eastAsia="仿宋_GB2312"/>
                <w:kern w:val="0"/>
                <w:sz w:val="18"/>
                <w:szCs w:val="18"/>
                <w:lang w:val="en-US" w:eastAsia="zh-CN"/>
              </w:rPr>
              <w:t>人才</w:t>
            </w:r>
            <w:r>
              <w:rPr>
                <w:rFonts w:hint="eastAsia" w:eastAsia="仿宋_GB2312"/>
                <w:kern w:val="0"/>
                <w:sz w:val="18"/>
                <w:szCs w:val="18"/>
                <w:lang w:val="en-US" w:eastAsia="zh-CN"/>
              </w:rPr>
              <w:t>重点</w:t>
            </w:r>
            <w:r>
              <w:rPr>
                <w:rFonts w:hint="default" w:eastAsia="仿宋_GB2312"/>
                <w:kern w:val="0"/>
                <w:sz w:val="18"/>
                <w:szCs w:val="18"/>
                <w:lang w:val="en-US" w:eastAsia="zh-CN"/>
              </w:rPr>
              <w:t>工作完成时间</w:t>
            </w:r>
          </w:p>
        </w:tc>
        <w:tc>
          <w:tcPr>
            <w:tcW w:w="960" w:type="dxa"/>
            <w:tcBorders>
              <w:top w:val="nil"/>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2021年底</w:t>
            </w:r>
          </w:p>
        </w:tc>
        <w:tc>
          <w:tcPr>
            <w:tcW w:w="864" w:type="dxa"/>
            <w:tcBorders>
              <w:top w:val="nil"/>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2021年底</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62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成本指标</w:t>
            </w:r>
          </w:p>
        </w:tc>
        <w:tc>
          <w:tcPr>
            <w:tcW w:w="2094"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jc w:val="left"/>
              <w:textAlignment w:val="center"/>
              <w:rPr>
                <w:rFonts w:hint="default" w:eastAsia="仿宋_GB2312"/>
                <w:kern w:val="0"/>
                <w:sz w:val="18"/>
                <w:szCs w:val="18"/>
                <w:lang w:val="en-US" w:eastAsia="zh-CN"/>
              </w:rPr>
            </w:pPr>
            <w:r>
              <w:rPr>
                <w:rFonts w:hint="eastAsia" w:eastAsia="仿宋_GB2312"/>
                <w:kern w:val="0"/>
                <w:sz w:val="18"/>
                <w:szCs w:val="18"/>
                <w:lang w:val="en-US" w:eastAsia="zh-CN"/>
              </w:rPr>
              <w:t>办公费、印刷</w:t>
            </w:r>
            <w:r>
              <w:rPr>
                <w:rFonts w:hint="eastAsia" w:eastAsia="仿宋_GB2312"/>
                <w:kern w:val="0"/>
                <w:sz w:val="18"/>
                <w:szCs w:val="18"/>
              </w:rPr>
              <w:t>费</w:t>
            </w:r>
            <w:r>
              <w:rPr>
                <w:rFonts w:hint="eastAsia" w:eastAsia="仿宋_GB2312"/>
                <w:kern w:val="0"/>
                <w:sz w:val="18"/>
                <w:szCs w:val="18"/>
                <w:lang w:eastAsia="zh-CN"/>
              </w:rPr>
              <w:t>、</w:t>
            </w:r>
            <w:r>
              <w:rPr>
                <w:rFonts w:hint="eastAsia" w:eastAsia="仿宋_GB2312"/>
                <w:kern w:val="0"/>
                <w:sz w:val="18"/>
                <w:szCs w:val="18"/>
                <w:lang w:val="en-US" w:eastAsia="zh-CN"/>
              </w:rPr>
              <w:t>培训费、福利费、生活补助</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260万</w:t>
            </w: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kern w:val="0"/>
                <w:sz w:val="18"/>
                <w:szCs w:val="18"/>
                <w:lang w:val="en-US" w:eastAsia="zh-CN"/>
              </w:rPr>
              <w:t>259.95</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7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eastAsia="楷体_GB2312"/>
                <w:kern w:val="0"/>
                <w:sz w:val="18"/>
                <w:szCs w:val="18"/>
              </w:rPr>
              <w:t>效益指标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经济效益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98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社会效益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96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86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生态效益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8"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可持续影响指标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78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满意度</w:t>
            </w:r>
          </w:p>
          <w:p>
            <w:pPr>
              <w:widowControl/>
              <w:spacing w:line="240" w:lineRule="exact"/>
              <w:jc w:val="center"/>
              <w:rPr>
                <w:kern w:val="0"/>
                <w:sz w:val="18"/>
                <w:szCs w:val="18"/>
              </w:rPr>
            </w:pPr>
            <w:r>
              <w:rPr>
                <w:rFonts w:eastAsia="楷体_GB2312"/>
                <w:kern w:val="0"/>
                <w:sz w:val="18"/>
                <w:szCs w:val="18"/>
              </w:rPr>
              <w:t>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服务对象满意度指标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服务人才满意度</w:t>
            </w:r>
          </w:p>
        </w:tc>
        <w:tc>
          <w:tcPr>
            <w:tcW w:w="96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eastAsia="zh-CN"/>
              </w:rPr>
              <w:t>≥</w:t>
            </w:r>
            <w:r>
              <w:rPr>
                <w:rFonts w:hint="eastAsia" w:eastAsia="仿宋_GB2312"/>
                <w:kern w:val="0"/>
                <w:sz w:val="18"/>
                <w:szCs w:val="18"/>
                <w:lang w:val="en-US" w:eastAsia="zh-CN"/>
              </w:rPr>
              <w:t>90%</w:t>
            </w: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rPr>
              <w:t>≥90%</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6598"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color w:val="000000"/>
                <w:kern w:val="0"/>
                <w:sz w:val="18"/>
                <w:szCs w:val="18"/>
              </w:rPr>
            </w:pPr>
            <w:r>
              <w:rPr>
                <w:rFonts w:hAnsi="黑体" w:eastAsia="黑体"/>
                <w:color w:val="000000"/>
                <w:kern w:val="0"/>
                <w:sz w:val="18"/>
                <w:szCs w:val="18"/>
              </w:rPr>
              <w:t>总分</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60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58</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bl>
    <w:p>
      <w:pPr>
        <w:spacing w:line="560" w:lineRule="exact"/>
        <w:rPr>
          <w:rFonts w:hint="eastAsia" w:ascii="仿宋" w:hAnsi="仿宋" w:eastAsia="仿宋"/>
          <w:sz w:val="32"/>
          <w:szCs w:val="32"/>
          <w:lang w:eastAsia="zh-CN"/>
        </w:rPr>
      </w:pP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四、绩效评价指标分析</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（一）、项目决策情况分析：</w:t>
      </w:r>
      <w:r>
        <w:rPr>
          <w:rFonts w:hint="eastAsia" w:ascii="仿宋" w:hAnsi="仿宋" w:eastAsia="仿宋"/>
          <w:sz w:val="32"/>
          <w:szCs w:val="32"/>
          <w:lang w:val="en-US" w:eastAsia="zh-CN"/>
        </w:rPr>
        <w:t>了解辖区企业人才情况、并制定人才相关活动计划</w:t>
      </w:r>
      <w:r>
        <w:rPr>
          <w:rFonts w:hint="eastAsia" w:ascii="仿宋" w:hAnsi="仿宋" w:eastAsia="仿宋"/>
          <w:sz w:val="32"/>
          <w:szCs w:val="32"/>
        </w:rPr>
        <w:t>。</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（二）、项目过程情况分析：组织</w:t>
      </w:r>
      <w:r>
        <w:rPr>
          <w:rFonts w:hint="eastAsia" w:ascii="仿宋" w:hAnsi="仿宋" w:eastAsia="仿宋"/>
          <w:sz w:val="32"/>
          <w:szCs w:val="32"/>
          <w:lang w:val="en-US" w:eastAsia="zh-CN"/>
        </w:rPr>
        <w:t>相关</w:t>
      </w:r>
      <w:r>
        <w:rPr>
          <w:rFonts w:hint="eastAsia" w:ascii="仿宋" w:hAnsi="仿宋" w:eastAsia="仿宋"/>
          <w:sz w:val="32"/>
          <w:szCs w:val="32"/>
        </w:rPr>
        <w:t>部门开会，</w:t>
      </w:r>
      <w:r>
        <w:rPr>
          <w:rFonts w:hint="eastAsia" w:ascii="仿宋" w:hAnsi="仿宋" w:eastAsia="仿宋"/>
          <w:sz w:val="32"/>
          <w:szCs w:val="32"/>
          <w:lang w:val="en-US" w:eastAsia="zh-CN"/>
        </w:rPr>
        <w:t>根据各项工作需求将此笔款项进行划分。</w:t>
      </w:r>
    </w:p>
    <w:p>
      <w:pPr>
        <w:spacing w:line="560" w:lineRule="exact"/>
        <w:ind w:firstLine="640" w:firstLineChars="200"/>
        <w:rPr>
          <w:rFonts w:hint="default" w:ascii="仿宋" w:hAnsi="仿宋" w:eastAsia="仿宋"/>
          <w:color w:val="FF0000"/>
          <w:sz w:val="32"/>
          <w:szCs w:val="32"/>
          <w:lang w:val="en-US" w:eastAsia="zh-CN"/>
        </w:rPr>
      </w:pPr>
      <w:r>
        <w:rPr>
          <w:rFonts w:hint="eastAsia" w:ascii="仿宋" w:hAnsi="仿宋" w:eastAsia="仿宋"/>
          <w:sz w:val="32"/>
          <w:szCs w:val="32"/>
        </w:rPr>
        <w:t>（三）、项目产出情况分析：</w:t>
      </w:r>
      <w:r>
        <w:rPr>
          <w:rFonts w:hint="eastAsia" w:ascii="仿宋" w:hAnsi="仿宋" w:eastAsia="仿宋"/>
          <w:color w:val="FF0000"/>
          <w:sz w:val="32"/>
          <w:szCs w:val="32"/>
          <w:lang w:val="en-US" w:eastAsia="zh-CN"/>
        </w:rPr>
        <w:t>重大节日慰问人才XX人，培训XX人次，发放补助XX人次</w:t>
      </w:r>
      <w:r>
        <w:rPr>
          <w:rFonts w:hint="eastAsia" w:ascii="仿宋" w:hAnsi="仿宋" w:eastAsia="仿宋"/>
          <w:color w:val="FF0000"/>
          <w:sz w:val="32"/>
          <w:szCs w:val="32"/>
          <w:lang w:val="en-US" w:eastAsia="zh-CN"/>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（四）、项目效益情况分析：</w:t>
      </w:r>
      <w:r>
        <w:rPr>
          <w:rFonts w:hint="eastAsia" w:ascii="仿宋" w:hAnsi="仿宋" w:eastAsia="仿宋"/>
          <w:sz w:val="32"/>
          <w:szCs w:val="32"/>
          <w:lang w:val="en-US" w:eastAsia="zh-CN"/>
        </w:rPr>
        <w:t>吸引人才留桂创业</w:t>
      </w:r>
      <w:r>
        <w:rPr>
          <w:rFonts w:hint="eastAsia" w:ascii="仿宋" w:hAnsi="仿宋" w:eastAsia="仿宋" w:cs="仿宋_GB2312"/>
          <w:bCs/>
          <w:sz w:val="32"/>
          <w:szCs w:val="32"/>
        </w:rPr>
        <w:t>。</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五、</w:t>
      </w:r>
      <w:r>
        <w:rPr>
          <w:rFonts w:hint="eastAsia" w:ascii="仿宋" w:hAnsi="仿宋" w:eastAsia="仿宋"/>
          <w:sz w:val="32"/>
          <w:szCs w:val="32"/>
        </w:rPr>
        <w:t>主要经验及做法、存在的问题及原因分析</w:t>
      </w:r>
    </w:p>
    <w:p>
      <w:pPr>
        <w:spacing w:line="600" w:lineRule="exact"/>
        <w:ind w:firstLine="640" w:firstLineChars="200"/>
        <w:rPr>
          <w:rFonts w:ascii="仿宋" w:hAnsi="仿宋" w:eastAsia="仿宋"/>
          <w:sz w:val="32"/>
          <w:szCs w:val="32"/>
        </w:rPr>
      </w:pPr>
      <w:r>
        <w:rPr>
          <w:rFonts w:hint="eastAsia" w:ascii="仿宋" w:hAnsi="仿宋" w:eastAsia="仿宋"/>
          <w:sz w:val="32"/>
          <w:szCs w:val="32"/>
          <w:lang w:val="en-US" w:eastAsia="zh-CN"/>
        </w:rPr>
        <w:t>了解辖区企业人才情况，制定相应计划</w:t>
      </w:r>
      <w:r>
        <w:rPr>
          <w:rFonts w:hint="eastAsia" w:ascii="仿宋" w:hAnsi="仿宋" w:eastAsia="仿宋"/>
          <w:sz w:val="32"/>
          <w:szCs w:val="32"/>
        </w:rPr>
        <w:t>。今后要</w:t>
      </w:r>
      <w:r>
        <w:rPr>
          <w:rFonts w:hint="eastAsia" w:ascii="仿宋" w:hAnsi="仿宋" w:eastAsia="仿宋"/>
          <w:sz w:val="32"/>
          <w:szCs w:val="32"/>
          <w:lang w:val="en-US" w:eastAsia="zh-CN"/>
        </w:rPr>
        <w:t>进一步</w:t>
      </w:r>
      <w:r>
        <w:rPr>
          <w:rFonts w:hint="eastAsia" w:ascii="仿宋" w:hAnsi="仿宋" w:eastAsia="仿宋"/>
          <w:sz w:val="32"/>
          <w:szCs w:val="32"/>
        </w:rPr>
        <w:t>加强绩效自评工作人员的培训学习，提高工作效率。</w:t>
      </w:r>
    </w:p>
    <w:p>
      <w:pPr>
        <w:spacing w:line="600" w:lineRule="exact"/>
        <w:ind w:firstLine="640" w:firstLineChars="200"/>
        <w:rPr>
          <w:rFonts w:ascii="仿宋" w:hAnsi="仿宋" w:eastAsia="仿宋"/>
          <w:sz w:val="32"/>
          <w:szCs w:val="32"/>
        </w:rPr>
      </w:pPr>
      <w:r>
        <w:rPr>
          <w:rFonts w:hint="eastAsia" w:ascii="仿宋" w:hAnsi="仿宋" w:eastAsia="仿宋" w:cs="黑体"/>
          <w:bCs/>
          <w:sz w:val="32"/>
          <w:szCs w:val="32"/>
        </w:rPr>
        <w:t>六、</w:t>
      </w:r>
      <w:r>
        <w:rPr>
          <w:rFonts w:hint="eastAsia" w:ascii="仿宋" w:hAnsi="仿宋" w:eastAsia="仿宋"/>
          <w:sz w:val="32"/>
          <w:szCs w:val="32"/>
        </w:rPr>
        <w:t>有关建议。</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今后希望加强绩效考评相关人员的培训</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七、其他需说明的问题。</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无</w:t>
      </w:r>
    </w:p>
    <w:p>
      <w:pPr>
        <w:spacing w:line="560" w:lineRule="exact"/>
        <w:ind w:firstLine="640" w:firstLineChars="200"/>
        <w:rPr>
          <w:rFonts w:ascii="仿宋" w:hAnsi="仿宋" w:eastAsia="仿宋" w:cs="黑体"/>
          <w:bCs/>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9F394B"/>
    <w:rsid w:val="000171A8"/>
    <w:rsid w:val="000A5284"/>
    <w:rsid w:val="000F26AB"/>
    <w:rsid w:val="00126801"/>
    <w:rsid w:val="001754E1"/>
    <w:rsid w:val="00185081"/>
    <w:rsid w:val="0019290F"/>
    <w:rsid w:val="001A684B"/>
    <w:rsid w:val="001A7B52"/>
    <w:rsid w:val="001D0D97"/>
    <w:rsid w:val="001D404D"/>
    <w:rsid w:val="001E6230"/>
    <w:rsid w:val="001F2365"/>
    <w:rsid w:val="0020559B"/>
    <w:rsid w:val="0023776A"/>
    <w:rsid w:val="002730A9"/>
    <w:rsid w:val="00275552"/>
    <w:rsid w:val="0027659B"/>
    <w:rsid w:val="002A0C0B"/>
    <w:rsid w:val="002A4FF5"/>
    <w:rsid w:val="002A5B65"/>
    <w:rsid w:val="002A74B3"/>
    <w:rsid w:val="002F4669"/>
    <w:rsid w:val="002F64C1"/>
    <w:rsid w:val="00302A54"/>
    <w:rsid w:val="00306703"/>
    <w:rsid w:val="003243C4"/>
    <w:rsid w:val="00362780"/>
    <w:rsid w:val="00371D5A"/>
    <w:rsid w:val="00374851"/>
    <w:rsid w:val="00384959"/>
    <w:rsid w:val="00390B83"/>
    <w:rsid w:val="00393221"/>
    <w:rsid w:val="003A1F84"/>
    <w:rsid w:val="003A6DA9"/>
    <w:rsid w:val="003D0B94"/>
    <w:rsid w:val="003D421E"/>
    <w:rsid w:val="003D708B"/>
    <w:rsid w:val="003E2414"/>
    <w:rsid w:val="003F3562"/>
    <w:rsid w:val="00402030"/>
    <w:rsid w:val="0042410B"/>
    <w:rsid w:val="004444D0"/>
    <w:rsid w:val="004F7421"/>
    <w:rsid w:val="005041DC"/>
    <w:rsid w:val="005273A8"/>
    <w:rsid w:val="005326E5"/>
    <w:rsid w:val="005353BC"/>
    <w:rsid w:val="0057403B"/>
    <w:rsid w:val="005B48D5"/>
    <w:rsid w:val="005C224A"/>
    <w:rsid w:val="005C346B"/>
    <w:rsid w:val="005E0E78"/>
    <w:rsid w:val="005F48AE"/>
    <w:rsid w:val="0062356B"/>
    <w:rsid w:val="006300A2"/>
    <w:rsid w:val="0068642F"/>
    <w:rsid w:val="006B2A1B"/>
    <w:rsid w:val="006B2A38"/>
    <w:rsid w:val="006C1CBB"/>
    <w:rsid w:val="006C392F"/>
    <w:rsid w:val="006C78B3"/>
    <w:rsid w:val="006D27BC"/>
    <w:rsid w:val="006E4152"/>
    <w:rsid w:val="006F5B5B"/>
    <w:rsid w:val="007071FD"/>
    <w:rsid w:val="00730B68"/>
    <w:rsid w:val="00741B0F"/>
    <w:rsid w:val="007817C0"/>
    <w:rsid w:val="00781B74"/>
    <w:rsid w:val="00793735"/>
    <w:rsid w:val="007A618F"/>
    <w:rsid w:val="007D7C5F"/>
    <w:rsid w:val="007F61BE"/>
    <w:rsid w:val="00801E6A"/>
    <w:rsid w:val="008773C6"/>
    <w:rsid w:val="00882B3D"/>
    <w:rsid w:val="00892BD2"/>
    <w:rsid w:val="008B4D22"/>
    <w:rsid w:val="00916BFD"/>
    <w:rsid w:val="00957E8E"/>
    <w:rsid w:val="009A2454"/>
    <w:rsid w:val="009A2AF0"/>
    <w:rsid w:val="009A5D35"/>
    <w:rsid w:val="009B5687"/>
    <w:rsid w:val="009D0BF4"/>
    <w:rsid w:val="009F3068"/>
    <w:rsid w:val="00A01EBE"/>
    <w:rsid w:val="00A17921"/>
    <w:rsid w:val="00A51282"/>
    <w:rsid w:val="00A66549"/>
    <w:rsid w:val="00A76FC0"/>
    <w:rsid w:val="00B15E33"/>
    <w:rsid w:val="00B45802"/>
    <w:rsid w:val="00B74378"/>
    <w:rsid w:val="00B96AA2"/>
    <w:rsid w:val="00BB6B02"/>
    <w:rsid w:val="00BD0781"/>
    <w:rsid w:val="00BD6A7F"/>
    <w:rsid w:val="00BF58C7"/>
    <w:rsid w:val="00C11607"/>
    <w:rsid w:val="00C266CB"/>
    <w:rsid w:val="00C278E1"/>
    <w:rsid w:val="00C372CE"/>
    <w:rsid w:val="00C42DAC"/>
    <w:rsid w:val="00C60054"/>
    <w:rsid w:val="00C669BB"/>
    <w:rsid w:val="00C7033D"/>
    <w:rsid w:val="00C933D8"/>
    <w:rsid w:val="00CA207E"/>
    <w:rsid w:val="00CC25FC"/>
    <w:rsid w:val="00CC3CCB"/>
    <w:rsid w:val="00CD764F"/>
    <w:rsid w:val="00CE0E6A"/>
    <w:rsid w:val="00CF658B"/>
    <w:rsid w:val="00D003EA"/>
    <w:rsid w:val="00D13E76"/>
    <w:rsid w:val="00D50EA5"/>
    <w:rsid w:val="00D703AE"/>
    <w:rsid w:val="00D70CEE"/>
    <w:rsid w:val="00DD2E33"/>
    <w:rsid w:val="00DF03FD"/>
    <w:rsid w:val="00E25E98"/>
    <w:rsid w:val="00E31259"/>
    <w:rsid w:val="00E57AE7"/>
    <w:rsid w:val="00E777E2"/>
    <w:rsid w:val="00E978CA"/>
    <w:rsid w:val="00ED1C2A"/>
    <w:rsid w:val="00ED55CE"/>
    <w:rsid w:val="00ED59A7"/>
    <w:rsid w:val="00F21561"/>
    <w:rsid w:val="00F314DC"/>
    <w:rsid w:val="00F445FC"/>
    <w:rsid w:val="00F45727"/>
    <w:rsid w:val="00F7611B"/>
    <w:rsid w:val="00F8206E"/>
    <w:rsid w:val="00FA114B"/>
    <w:rsid w:val="00FB01F9"/>
    <w:rsid w:val="00FB08EA"/>
    <w:rsid w:val="05B32B82"/>
    <w:rsid w:val="209F394B"/>
    <w:rsid w:val="252942DA"/>
    <w:rsid w:val="4E5B79EC"/>
    <w:rsid w:val="56E5351C"/>
    <w:rsid w:val="5ED342F9"/>
    <w:rsid w:val="665C0473"/>
    <w:rsid w:val="66EE1A1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semiHidden/>
    <w:qFormat/>
    <w:locked/>
    <w:uiPriority w:val="99"/>
    <w:rPr>
      <w:rFonts w:cs="Times New Roman"/>
      <w:sz w:val="18"/>
      <w:szCs w:val="18"/>
    </w:rPr>
  </w:style>
  <w:style w:type="character" w:customStyle="1" w:styleId="7">
    <w:name w:val="Footer Char"/>
    <w:basedOn w:val="5"/>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Pages>
  <Words>281</Words>
  <Characters>1603</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2022-06-14T06:53:00Z</dcterms:created>
  <dc:creator>Administrator</dc:creator>
  <cp:lastModifiedBy>john</cp:lastModifiedBy>
  <dcterms:modified xsi:type="dcterms:W3CDTF">2022-06-28T17:00:59Z</dcterms:modified>
  <dc:title>附件3</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