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基层办工作经费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用于基层办日常工作经费支出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4"/>
              </w:rPr>
              <w:t>党的建设工作领导小组季度会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4"/>
              </w:rPr>
              <w:t>年度基层党组书记年终述职评议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4"/>
              </w:rPr>
              <w:t>党统统计培训、桂林先锋培训等业务培训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4"/>
              </w:rPr>
              <w:t>组工信息、网宣、调研论文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kern w:val="0"/>
                <w:sz w:val="24"/>
              </w:rPr>
              <w:t>大组工网国产化网络保密电脑配置、机房维护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以及下拨</w:t>
            </w:r>
            <w:r>
              <w:rPr>
                <w:rFonts w:hint="eastAsia" w:ascii="宋体" w:hAnsi="宋体" w:cs="宋体"/>
                <w:kern w:val="0"/>
                <w:sz w:val="24"/>
              </w:rPr>
              <w:t>村（社区）“第一书记”工作经费22.2万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下拨</w:t>
            </w:r>
            <w:r>
              <w:rPr>
                <w:rFonts w:hint="eastAsia" w:ascii="宋体" w:hAnsi="宋体" w:cs="宋体"/>
                <w:kern w:val="0"/>
                <w:sz w:val="24"/>
              </w:rPr>
              <w:t>农村星级化结果运用经费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1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基层办各项工作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正常开展，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重点工作任务覆盖率100%。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基层办重点工作数量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≤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基层办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重点工作开展率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  <w:t>≤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基层办重点工作完成时间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</w:t>
            </w:r>
            <w:r>
              <w:rPr>
                <w:rFonts w:hint="eastAsia" w:ascii="宋体" w:hAnsi="宋体" w:cs="宋体"/>
                <w:kern w:val="0"/>
                <w:sz w:val="24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会议</w:t>
            </w:r>
            <w:r>
              <w:rPr>
                <w:rFonts w:hint="eastAsia" w:ascii="宋体" w:hAnsi="宋体" w:cs="宋体"/>
                <w:kern w:val="0"/>
                <w:sz w:val="24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差旅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公务接待费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（6）办公设备购置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（1）33万元；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（6）7万元。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基层党员干部队伍和驻村第一书记的满意度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罗鑫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200060E"/>
    <w:rsid w:val="122B324F"/>
    <w:rsid w:val="2B884CC7"/>
    <w:rsid w:val="34A9109A"/>
    <w:rsid w:val="3856791B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714</Words>
  <Characters>768</Characters>
  <Lines>0</Lines>
  <Paragraphs>0</Paragraphs>
  <TotalTime>27</TotalTime>
  <ScaleCrop>false</ScaleCrop>
  <LinksUpToDate>false</LinksUpToDate>
  <CharactersWithSpaces>851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2022-06-21T11:41:17Z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3A335E7C8A9745058C82ADC56EA472E4</vt:lpwstr>
  </property>
</Properties>
</file>