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黑体"/>
          <w:sz w:val="32"/>
          <w:szCs w:val="32"/>
          <w:lang w:val="en-US" w:eastAsia="zh-CN"/>
        </w:rPr>
      </w:pPr>
      <w:r>
        <w:rPr>
          <w:rFonts w:hAnsi="黑体" w:eastAsia="黑体"/>
          <w:sz w:val="32"/>
          <w:szCs w:val="32"/>
        </w:rPr>
        <w:t>附件</w:t>
      </w:r>
      <w:r>
        <w:rPr>
          <w:rFonts w:hint="eastAsia" w:hAnsi="黑体" w:eastAsia="黑体"/>
          <w:sz w:val="32"/>
          <w:szCs w:val="32"/>
          <w:lang w:val="en-US" w:eastAsia="zh-CN"/>
        </w:rPr>
        <w:t>5</w:t>
      </w:r>
    </w:p>
    <w:p>
      <w:pPr>
        <w:pStyle w:val="7"/>
        <w:spacing w:line="600" w:lineRule="exact"/>
        <w:jc w:val="center"/>
        <w:rPr>
          <w:rFonts w:hint="eastAsia" w:ascii="方正小标宋简体" w:eastAsia="方正小标宋简体" w:cs="Times New Roman"/>
          <w:color w:val="auto"/>
          <w:sz w:val="44"/>
          <w:szCs w:val="44"/>
          <w:lang w:val="en-US" w:eastAsia="zh-CN"/>
        </w:rPr>
      </w:pPr>
      <w:r>
        <w:rPr>
          <w:rFonts w:hint="eastAsia" w:ascii="方正小标宋简体" w:eastAsia="方正小标宋简体" w:cs="Times New Roman"/>
          <w:color w:val="auto"/>
          <w:sz w:val="44"/>
          <w:szCs w:val="44"/>
          <w:lang w:val="en-US" w:eastAsia="zh-CN"/>
        </w:rPr>
        <w:t>七星区城乡居民基本养老保险财政补助</w:t>
      </w:r>
    </w:p>
    <w:p>
      <w:pPr>
        <w:pStyle w:val="7"/>
        <w:spacing w:line="600" w:lineRule="exact"/>
        <w:jc w:val="center"/>
        <w:rPr>
          <w:rFonts w:hint="default" w:ascii="方正小标宋简体" w:eastAsia="方正小标宋简体" w:cs="Times New Roman"/>
          <w:color w:val="auto"/>
          <w:sz w:val="44"/>
          <w:szCs w:val="44"/>
          <w:lang w:val="en-US" w:eastAsia="zh-CN"/>
        </w:rPr>
      </w:pPr>
      <w:r>
        <w:rPr>
          <w:rFonts w:hint="eastAsia" w:ascii="方正小标宋简体" w:eastAsia="方正小标宋简体" w:cs="Times New Roman"/>
          <w:color w:val="auto"/>
          <w:sz w:val="44"/>
          <w:szCs w:val="44"/>
          <w:lang w:val="en-US" w:eastAsia="zh-CN"/>
        </w:rPr>
        <w:t>基金</w:t>
      </w:r>
      <w:r>
        <w:rPr>
          <w:rFonts w:hint="default" w:ascii="方正小标宋简体" w:eastAsia="方正小标宋简体" w:cs="Times New Roman"/>
          <w:color w:val="auto"/>
          <w:sz w:val="44"/>
          <w:szCs w:val="44"/>
          <w:lang w:val="en-US" w:eastAsia="zh-CN"/>
        </w:rPr>
        <w:t>项目支出绩效评价报告</w:t>
      </w:r>
    </w:p>
    <w:p>
      <w:pPr>
        <w:jc w:val="center"/>
        <w:rPr>
          <w:szCs w:val="30"/>
        </w:rPr>
      </w:pPr>
    </w:p>
    <w:p>
      <w:pPr>
        <w:spacing w:line="600" w:lineRule="exact"/>
        <w:ind w:firstLine="640" w:firstLineChars="200"/>
        <w:rPr>
          <w:rFonts w:eastAsia="黑体"/>
          <w:sz w:val="32"/>
          <w:szCs w:val="32"/>
        </w:rPr>
      </w:pPr>
      <w:r>
        <w:rPr>
          <w:rFonts w:hAnsi="黑体" w:eastAsia="黑体"/>
          <w:sz w:val="32"/>
          <w:szCs w:val="32"/>
        </w:rPr>
        <w:t>一、基本情况</w:t>
      </w:r>
    </w:p>
    <w:p>
      <w:pPr>
        <w:spacing w:line="600" w:lineRule="exact"/>
        <w:ind w:firstLine="640" w:firstLineChars="200"/>
        <w:outlineLvl w:val="0"/>
        <w:rPr>
          <w:rFonts w:eastAsia="楷体_GB2312"/>
          <w:sz w:val="32"/>
          <w:szCs w:val="32"/>
        </w:rPr>
      </w:pPr>
      <w:r>
        <w:rPr>
          <w:rFonts w:eastAsia="楷体_GB2312"/>
          <w:sz w:val="32"/>
          <w:szCs w:val="32"/>
        </w:rPr>
        <w:t>（一）项目概况。</w:t>
      </w:r>
    </w:p>
    <w:p>
      <w:pPr>
        <w:spacing w:line="600" w:lineRule="exact"/>
        <w:ind w:firstLine="640" w:firstLineChars="200"/>
        <w:outlineLvl w:val="0"/>
        <w:rPr>
          <w:rFonts w:hint="eastAsia" w:eastAsia="仿宋_GB2312"/>
          <w:sz w:val="32"/>
          <w:szCs w:val="32"/>
        </w:rPr>
      </w:pPr>
      <w:r>
        <w:rPr>
          <w:rFonts w:hint="eastAsia" w:ascii="仿宋_GB2312" w:hAnsi="仿宋" w:eastAsia="仿宋_GB2312" w:cs="仿宋"/>
          <w:color w:val="auto"/>
          <w:sz w:val="32"/>
          <w:szCs w:val="32"/>
          <w:lang w:val="en-US" w:eastAsia="zh-CN"/>
        </w:rPr>
        <w:t>1.项目背景。健全覆盖全民、统筹城乡、公平统一、可持续的多层次社会保障体系，实现辖区居民应保尽保，</w:t>
      </w:r>
      <w:r>
        <w:rPr>
          <w:rFonts w:hint="eastAsia" w:eastAsia="仿宋_GB2312"/>
          <w:sz w:val="32"/>
          <w:szCs w:val="32"/>
        </w:rPr>
        <w:t>解决老有所养的问题。</w:t>
      </w:r>
    </w:p>
    <w:p>
      <w:pPr>
        <w:spacing w:line="600" w:lineRule="exact"/>
        <w:ind w:firstLine="640" w:firstLineChars="200"/>
        <w:outlineLvl w:val="0"/>
        <w:rPr>
          <w:rFonts w:hint="eastAsia" w:eastAsia="仿宋_GB2312"/>
          <w:sz w:val="32"/>
          <w:szCs w:val="32"/>
          <w:lang w:val="en-US" w:eastAsia="zh-CN"/>
        </w:rPr>
      </w:pPr>
      <w:r>
        <w:rPr>
          <w:rFonts w:hint="eastAsia" w:eastAsia="仿宋_GB2312"/>
          <w:sz w:val="32"/>
          <w:szCs w:val="32"/>
          <w:lang w:val="en-US" w:eastAsia="zh-CN"/>
        </w:rPr>
        <w:t>2.主要内容。根据《广西壮族自治区人力资源和社会保障厅 广西壮族自治区财政厅关于提高2021年广西壮族自治区城乡居民基本养老保险基础养老金最低标准的通知》（桂人社发〔2021〕24号）和《国家税务总局广西壮族自治区税务局 广西壮族自治区人力资源和社会保障厅关于做好2021年城乡居民基本养老保险费征缴工作的通知》（桂税发〔2020〕83号）文件精神，做好七星区城乡居民基本养老保险养老待遇发放、给予参保人个人缴费政府补贴、为特殊困难群体代缴保费等工作。</w:t>
      </w:r>
    </w:p>
    <w:p>
      <w:pPr>
        <w:spacing w:line="600" w:lineRule="exact"/>
        <w:ind w:firstLine="640" w:firstLineChars="200"/>
        <w:outlineLvl w:val="0"/>
        <w:rPr>
          <w:rFonts w:hint="eastAsia" w:eastAsia="仿宋_GB2312"/>
          <w:sz w:val="32"/>
          <w:szCs w:val="32"/>
          <w:lang w:val="en-US" w:eastAsia="zh-CN"/>
        </w:rPr>
      </w:pPr>
      <w:r>
        <w:rPr>
          <w:rFonts w:hint="eastAsia" w:eastAsia="仿宋_GB2312"/>
          <w:sz w:val="32"/>
          <w:szCs w:val="32"/>
          <w:lang w:val="en-US" w:eastAsia="zh-CN"/>
        </w:rPr>
        <w:t>3.资金情况。</w:t>
      </w:r>
      <w:bookmarkStart w:id="0" w:name="_GoBack"/>
      <w:bookmarkEnd w:id="0"/>
      <w:r>
        <w:rPr>
          <w:rFonts w:hint="eastAsia" w:eastAsia="仿宋_GB2312"/>
          <w:sz w:val="32"/>
          <w:szCs w:val="32"/>
          <w:lang w:val="en-US" w:eastAsia="zh-CN"/>
        </w:rPr>
        <w:t>2021年城乡居民基本养老保险区本级政府补贴资金(经济科目：对社会保险基金补助)支出为67.22万元，其中：缴费补贴7万元，养老金补贴57.92万元，为特殊困难群体政府代缴2.3万元。</w:t>
      </w:r>
    </w:p>
    <w:p>
      <w:pPr>
        <w:spacing w:line="600" w:lineRule="exact"/>
        <w:ind w:firstLine="640" w:firstLineChars="200"/>
        <w:rPr>
          <w:rFonts w:hint="eastAsia" w:eastAsia="仿宋_GB2312"/>
          <w:sz w:val="32"/>
          <w:szCs w:val="32"/>
        </w:rPr>
      </w:pPr>
      <w:r>
        <w:rPr>
          <w:rFonts w:eastAsia="楷体_GB2312"/>
          <w:sz w:val="32"/>
          <w:szCs w:val="32"/>
        </w:rPr>
        <w:t>（二）项目绩效目标。</w:t>
      </w:r>
      <w:r>
        <w:rPr>
          <w:rFonts w:hint="eastAsia" w:eastAsia="仿宋_GB2312"/>
          <w:sz w:val="32"/>
          <w:szCs w:val="32"/>
          <w:lang w:val="en-US" w:eastAsia="zh-CN"/>
        </w:rPr>
        <w:t>七星区基本养老保险参保入库率达到90%以上。</w:t>
      </w:r>
      <w:r>
        <w:rPr>
          <w:rFonts w:hint="eastAsia" w:eastAsia="仿宋_GB2312"/>
          <w:sz w:val="32"/>
          <w:szCs w:val="32"/>
        </w:rPr>
        <w:t>提高</w:t>
      </w:r>
      <w:r>
        <w:rPr>
          <w:rFonts w:hint="eastAsia" w:eastAsia="仿宋_GB2312"/>
          <w:sz w:val="32"/>
          <w:szCs w:val="32"/>
          <w:lang w:eastAsia="zh-CN"/>
        </w:rPr>
        <w:t>辖区居民</w:t>
      </w:r>
      <w:r>
        <w:rPr>
          <w:rFonts w:hint="eastAsia" w:eastAsia="仿宋_GB2312"/>
          <w:sz w:val="32"/>
          <w:szCs w:val="32"/>
        </w:rPr>
        <w:t>满意度。</w:t>
      </w:r>
    </w:p>
    <w:p>
      <w:pPr>
        <w:spacing w:line="600" w:lineRule="exact"/>
        <w:ind w:firstLine="640" w:firstLineChars="200"/>
        <w:rPr>
          <w:rFonts w:eastAsia="黑体"/>
          <w:sz w:val="32"/>
          <w:szCs w:val="32"/>
        </w:rPr>
      </w:pPr>
      <w:r>
        <w:rPr>
          <w:rFonts w:hAnsi="黑体" w:eastAsia="黑体"/>
          <w:sz w:val="32"/>
          <w:szCs w:val="32"/>
        </w:rPr>
        <w:t>二、绩效评价工作开展情况</w:t>
      </w:r>
    </w:p>
    <w:p>
      <w:pPr>
        <w:spacing w:line="600" w:lineRule="exact"/>
        <w:ind w:firstLine="640" w:firstLineChars="200"/>
        <w:rPr>
          <w:rFonts w:eastAsia="楷体_GB2312"/>
          <w:sz w:val="32"/>
          <w:szCs w:val="32"/>
        </w:rPr>
      </w:pPr>
      <w:r>
        <w:rPr>
          <w:rFonts w:eastAsia="楷体_GB2312"/>
          <w:sz w:val="32"/>
          <w:szCs w:val="32"/>
        </w:rPr>
        <w:t>（一）绩效评价目的</w:t>
      </w:r>
      <w:r>
        <w:rPr>
          <w:rFonts w:hint="eastAsia" w:eastAsia="楷体_GB2312"/>
          <w:sz w:val="32"/>
          <w:szCs w:val="32"/>
          <w:lang w:eastAsia="zh-CN"/>
        </w:rPr>
        <w:t>。</w:t>
      </w:r>
      <w:r>
        <w:rPr>
          <w:rFonts w:hint="eastAsia" w:eastAsia="仿宋_GB2312"/>
          <w:sz w:val="32"/>
          <w:szCs w:val="32"/>
        </w:rPr>
        <w:t>了解</w:t>
      </w:r>
      <w:r>
        <w:rPr>
          <w:rFonts w:hint="eastAsia" w:eastAsia="仿宋_GB2312"/>
          <w:sz w:val="32"/>
          <w:szCs w:val="32"/>
          <w:lang w:eastAsia="zh-CN"/>
        </w:rPr>
        <w:t>七星区</w:t>
      </w:r>
      <w:r>
        <w:rPr>
          <w:rFonts w:hint="eastAsia" w:eastAsia="仿宋_GB2312"/>
          <w:sz w:val="32"/>
          <w:szCs w:val="32"/>
        </w:rPr>
        <w:t>城乡居民</w:t>
      </w:r>
      <w:r>
        <w:rPr>
          <w:rFonts w:hint="eastAsia" w:eastAsia="仿宋_GB2312"/>
          <w:sz w:val="32"/>
          <w:szCs w:val="32"/>
          <w:lang w:eastAsia="zh-CN"/>
        </w:rPr>
        <w:t>基本</w:t>
      </w:r>
      <w:r>
        <w:rPr>
          <w:rFonts w:hint="eastAsia" w:eastAsia="仿宋_GB2312"/>
          <w:sz w:val="32"/>
          <w:szCs w:val="32"/>
        </w:rPr>
        <w:t>养老保险</w:t>
      </w:r>
      <w:r>
        <w:rPr>
          <w:rFonts w:hint="eastAsia" w:eastAsia="仿宋_GB2312"/>
          <w:sz w:val="32"/>
          <w:szCs w:val="32"/>
          <w:lang w:eastAsia="zh-CN"/>
        </w:rPr>
        <w:t>财政补助基金</w:t>
      </w:r>
      <w:r>
        <w:rPr>
          <w:rFonts w:hint="eastAsia" w:eastAsia="仿宋_GB2312"/>
          <w:sz w:val="32"/>
          <w:szCs w:val="32"/>
        </w:rPr>
        <w:t>项目资金使用情况和取得的成效，加强项目资金管理，为指导</w:t>
      </w:r>
      <w:r>
        <w:rPr>
          <w:rFonts w:hint="eastAsia" w:eastAsia="仿宋_GB2312"/>
          <w:sz w:val="32"/>
          <w:szCs w:val="32"/>
          <w:lang w:eastAsia="zh-CN"/>
        </w:rPr>
        <w:t>今后</w:t>
      </w:r>
      <w:r>
        <w:rPr>
          <w:rFonts w:hint="eastAsia" w:eastAsia="仿宋_GB2312"/>
          <w:sz w:val="32"/>
          <w:szCs w:val="32"/>
        </w:rPr>
        <w:t>预算编制和</w:t>
      </w:r>
      <w:r>
        <w:rPr>
          <w:rFonts w:hint="eastAsia" w:eastAsia="仿宋_GB2312"/>
          <w:sz w:val="32"/>
          <w:szCs w:val="32"/>
          <w:lang w:eastAsia="zh-CN"/>
        </w:rPr>
        <w:t>绩效考评工作奠定基础。</w:t>
      </w:r>
    </w:p>
    <w:p>
      <w:pPr>
        <w:spacing w:line="600" w:lineRule="exact"/>
        <w:ind w:firstLine="640" w:firstLineChars="200"/>
        <w:rPr>
          <w:rFonts w:hint="eastAsia" w:eastAsia="仿宋_GB2312"/>
          <w:sz w:val="32"/>
          <w:szCs w:val="32"/>
          <w:lang w:val="en-US" w:eastAsia="zh-CN"/>
        </w:rPr>
      </w:pPr>
      <w:r>
        <w:rPr>
          <w:rFonts w:hint="eastAsia" w:eastAsia="楷体_GB2312"/>
          <w:sz w:val="32"/>
          <w:szCs w:val="32"/>
          <w:lang w:eastAsia="zh-CN"/>
        </w:rPr>
        <w:t>（二）</w:t>
      </w:r>
      <w:r>
        <w:rPr>
          <w:rFonts w:eastAsia="楷体_GB2312"/>
          <w:sz w:val="32"/>
          <w:szCs w:val="32"/>
        </w:rPr>
        <w:t>绩效评价对象。</w:t>
      </w:r>
      <w:r>
        <w:rPr>
          <w:rFonts w:hint="eastAsia" w:eastAsia="仿宋_GB2312"/>
          <w:sz w:val="32"/>
          <w:szCs w:val="32"/>
          <w:lang w:val="en-US" w:eastAsia="zh-CN"/>
        </w:rPr>
        <w:t>2021年七星区参加城乡居民基本养老保险人数。2021年七星区基本养老保险入库率。2021年城乡居民基本养老保险区本级政府补贴资金。</w:t>
      </w:r>
    </w:p>
    <w:p>
      <w:pPr>
        <w:spacing w:line="600" w:lineRule="exact"/>
        <w:ind w:firstLine="640" w:firstLineChars="200"/>
        <w:rPr>
          <w:rFonts w:eastAsia="楷体_GB2312"/>
          <w:sz w:val="32"/>
          <w:szCs w:val="32"/>
        </w:rPr>
      </w:pPr>
      <w:r>
        <w:rPr>
          <w:rFonts w:eastAsia="楷体_GB2312"/>
          <w:sz w:val="32"/>
          <w:szCs w:val="32"/>
        </w:rPr>
        <w:t>（</w:t>
      </w:r>
      <w:r>
        <w:rPr>
          <w:rFonts w:hint="eastAsia" w:eastAsia="楷体_GB2312"/>
          <w:sz w:val="32"/>
          <w:szCs w:val="32"/>
          <w:lang w:eastAsia="zh-CN"/>
        </w:rPr>
        <w:t>三</w:t>
      </w:r>
      <w:r>
        <w:rPr>
          <w:rFonts w:eastAsia="楷体_GB2312"/>
          <w:sz w:val="32"/>
          <w:szCs w:val="32"/>
        </w:rPr>
        <w:t>）绩效评价</w:t>
      </w:r>
      <w:r>
        <w:rPr>
          <w:rFonts w:hint="eastAsia" w:eastAsia="楷体_GB2312"/>
          <w:sz w:val="32"/>
          <w:szCs w:val="32"/>
          <w:lang w:eastAsia="zh-CN"/>
        </w:rPr>
        <w:t>标准。</w:t>
      </w:r>
      <w:r>
        <w:rPr>
          <w:rFonts w:hint="eastAsia" w:eastAsia="仿宋_GB2312"/>
          <w:sz w:val="32"/>
          <w:szCs w:val="32"/>
          <w:lang w:val="en-US" w:eastAsia="zh-CN"/>
        </w:rPr>
        <w:t>辖区居民应保尽保情况。是否按时足额发放城乡养老待遇，及时对个人缴费进行补贴，为特殊困难群体进行政府代缴。</w:t>
      </w:r>
    </w:p>
    <w:p>
      <w:pPr>
        <w:spacing w:line="600" w:lineRule="exact"/>
        <w:ind w:firstLine="640" w:firstLineChars="200"/>
        <w:rPr>
          <w:rFonts w:hint="eastAsia" w:eastAsia="仿宋_GB2312"/>
          <w:sz w:val="32"/>
          <w:szCs w:val="32"/>
          <w:lang w:val="en-US" w:eastAsia="zh-CN"/>
        </w:rPr>
      </w:pPr>
      <w:r>
        <w:rPr>
          <w:rFonts w:eastAsia="楷体_GB2312"/>
          <w:sz w:val="32"/>
          <w:szCs w:val="32"/>
        </w:rPr>
        <w:t>（</w:t>
      </w:r>
      <w:r>
        <w:rPr>
          <w:rFonts w:hint="eastAsia" w:eastAsia="楷体_GB2312"/>
          <w:sz w:val="32"/>
          <w:szCs w:val="32"/>
          <w:lang w:eastAsia="zh-CN"/>
        </w:rPr>
        <w:t>四</w:t>
      </w:r>
      <w:r>
        <w:rPr>
          <w:rFonts w:eastAsia="楷体_GB2312"/>
          <w:sz w:val="32"/>
          <w:szCs w:val="32"/>
        </w:rPr>
        <w:t>）绩效评价工作过程。</w:t>
      </w:r>
      <w:r>
        <w:rPr>
          <w:rFonts w:hint="eastAsia" w:eastAsia="仿宋_GB2312"/>
          <w:sz w:val="32"/>
          <w:szCs w:val="32"/>
          <w:lang w:val="en-US" w:eastAsia="zh-CN"/>
        </w:rPr>
        <w:t>收集项目相关资料，开展项目自评工作。根据项目完成情况形成项目绩效报告。</w:t>
      </w:r>
    </w:p>
    <w:p>
      <w:pPr>
        <w:spacing w:line="600" w:lineRule="exact"/>
        <w:ind w:firstLine="640" w:firstLineChars="200"/>
        <w:rPr>
          <w:rFonts w:eastAsia="仿宋_GB2312"/>
          <w:sz w:val="32"/>
          <w:szCs w:val="32"/>
        </w:rPr>
      </w:pPr>
      <w:r>
        <w:rPr>
          <w:rFonts w:hAnsi="黑体" w:eastAsia="黑体"/>
          <w:sz w:val="32"/>
          <w:szCs w:val="32"/>
        </w:rPr>
        <w:t>三、综合评价情况及评价结论</w:t>
      </w:r>
      <w:r>
        <w:rPr>
          <w:rFonts w:eastAsia="仿宋_GB2312"/>
          <w:sz w:val="32"/>
          <w:szCs w:val="32"/>
        </w:rPr>
        <w:t>（附相关评分表）</w:t>
      </w:r>
    </w:p>
    <w:p>
      <w:pPr>
        <w:spacing w:line="600" w:lineRule="exact"/>
        <w:ind w:firstLine="640" w:firstLineChars="200"/>
      </w:pPr>
      <w:r>
        <w:rPr>
          <w:rFonts w:hint="eastAsia" w:eastAsia="仿宋_GB2312"/>
          <w:sz w:val="32"/>
          <w:szCs w:val="32"/>
          <w:lang w:eastAsia="zh-CN"/>
        </w:rPr>
        <w:t>预期目标为</w:t>
      </w:r>
      <w:r>
        <w:rPr>
          <w:rFonts w:hint="eastAsia" w:eastAsia="仿宋_GB2312"/>
          <w:sz w:val="32"/>
          <w:szCs w:val="32"/>
          <w:lang w:val="en-US" w:eastAsia="zh-CN"/>
        </w:rPr>
        <w:t>2021年七星区</w:t>
      </w:r>
      <w:r>
        <w:rPr>
          <w:rFonts w:hint="eastAsia" w:eastAsia="仿宋_GB2312"/>
          <w:sz w:val="32"/>
          <w:szCs w:val="32"/>
          <w:lang w:eastAsia="zh-CN"/>
        </w:rPr>
        <w:t>基本养老保险参保入库率达到</w:t>
      </w:r>
      <w:r>
        <w:rPr>
          <w:rFonts w:hint="eastAsia" w:eastAsia="仿宋_GB2312"/>
          <w:sz w:val="32"/>
          <w:szCs w:val="32"/>
          <w:lang w:val="en-US" w:eastAsia="zh-CN"/>
        </w:rPr>
        <w:t>85</w:t>
      </w:r>
      <w:r>
        <w:rPr>
          <w:rFonts w:hint="eastAsia" w:eastAsia="仿宋_GB2312"/>
          <w:sz w:val="32"/>
          <w:szCs w:val="32"/>
          <w:lang w:eastAsia="zh-CN"/>
        </w:rPr>
        <w:t>%以上，养老待遇发放率100%。实际完成情况为</w:t>
      </w:r>
      <w:r>
        <w:rPr>
          <w:rFonts w:hint="eastAsia" w:eastAsia="仿宋_GB2312"/>
          <w:sz w:val="32"/>
          <w:szCs w:val="32"/>
          <w:lang w:val="en-US" w:eastAsia="zh-CN"/>
        </w:rPr>
        <w:t>2021年七星区</w:t>
      </w:r>
      <w:r>
        <w:rPr>
          <w:rFonts w:hint="eastAsia" w:eastAsia="仿宋_GB2312"/>
          <w:sz w:val="32"/>
          <w:szCs w:val="32"/>
          <w:lang w:eastAsia="zh-CN"/>
        </w:rPr>
        <w:t>基本养老保险参保入库率为</w:t>
      </w:r>
      <w:r>
        <w:rPr>
          <w:rFonts w:hint="eastAsia" w:eastAsia="仿宋_GB2312"/>
          <w:sz w:val="32"/>
          <w:szCs w:val="32"/>
          <w:lang w:val="en-US" w:eastAsia="zh-CN"/>
        </w:rPr>
        <w:t>90.44%，</w:t>
      </w:r>
      <w:r>
        <w:rPr>
          <w:rFonts w:hint="eastAsia" w:eastAsia="仿宋_GB2312"/>
          <w:sz w:val="32"/>
          <w:szCs w:val="32"/>
          <w:lang w:eastAsia="zh-CN"/>
        </w:rPr>
        <w:t>养老待遇发放率100%。完成目标任务，评价分值为</w:t>
      </w:r>
      <w:r>
        <w:rPr>
          <w:rFonts w:hint="eastAsia" w:eastAsia="仿宋_GB2312"/>
          <w:sz w:val="32"/>
          <w:szCs w:val="32"/>
          <w:lang w:val="en-US" w:eastAsia="zh-CN"/>
        </w:rPr>
        <w:t>80分。</w:t>
      </w:r>
    </w:p>
    <w:p>
      <w:pPr>
        <w:spacing w:line="600" w:lineRule="exact"/>
        <w:ind w:firstLine="640" w:firstLineChars="200"/>
        <w:rPr>
          <w:rFonts w:eastAsia="黑体"/>
          <w:sz w:val="32"/>
          <w:szCs w:val="32"/>
        </w:rPr>
      </w:pPr>
      <w:r>
        <w:rPr>
          <w:rFonts w:hAnsi="黑体" w:eastAsia="黑体"/>
          <w:sz w:val="32"/>
          <w:szCs w:val="32"/>
        </w:rPr>
        <w:t>四、绩效评价指标分析</w:t>
      </w:r>
    </w:p>
    <w:p>
      <w:pPr>
        <w:spacing w:line="600" w:lineRule="exact"/>
        <w:ind w:firstLine="640" w:firstLineChars="200"/>
        <w:outlineLvl w:val="0"/>
        <w:rPr>
          <w:rFonts w:hint="eastAsia" w:eastAsia="仿宋_GB2312"/>
          <w:sz w:val="32"/>
          <w:szCs w:val="32"/>
          <w:lang w:eastAsia="zh-CN"/>
        </w:rPr>
      </w:pPr>
      <w:r>
        <w:rPr>
          <w:rFonts w:eastAsia="楷体_GB2312"/>
          <w:sz w:val="32"/>
          <w:szCs w:val="32"/>
        </w:rPr>
        <w:t>（一）项目决策情况。</w:t>
      </w:r>
      <w:r>
        <w:rPr>
          <w:rFonts w:hint="eastAsia" w:eastAsia="仿宋_GB2312"/>
          <w:sz w:val="32"/>
          <w:szCs w:val="32"/>
          <w:lang w:eastAsia="zh-CN"/>
        </w:rPr>
        <w:t>按照上级部门政策要求，推动七星区城乡居民基本养老保险工作。</w:t>
      </w:r>
    </w:p>
    <w:p>
      <w:pPr>
        <w:spacing w:line="600" w:lineRule="exact"/>
        <w:ind w:firstLine="640" w:firstLineChars="200"/>
        <w:outlineLvl w:val="0"/>
        <w:rPr>
          <w:rFonts w:hint="eastAsia" w:eastAsia="仿宋_GB2312"/>
          <w:sz w:val="32"/>
          <w:szCs w:val="32"/>
          <w:lang w:eastAsia="zh-CN"/>
        </w:rPr>
      </w:pPr>
      <w:r>
        <w:rPr>
          <w:rFonts w:eastAsia="楷体_GB2312"/>
          <w:sz w:val="32"/>
          <w:szCs w:val="32"/>
        </w:rPr>
        <w:t>（二）项目过程情况。</w:t>
      </w:r>
      <w:r>
        <w:rPr>
          <w:rFonts w:hint="eastAsia" w:eastAsia="仿宋_GB2312"/>
          <w:sz w:val="32"/>
          <w:szCs w:val="32"/>
          <w:lang w:eastAsia="zh-CN"/>
        </w:rPr>
        <w:t>全面实施全民参保扩面行动。全年持续开展“看得懂</w:t>
      </w:r>
      <w:r>
        <w:rPr>
          <w:rFonts w:hint="eastAsia" w:eastAsia="仿宋_GB2312"/>
          <w:sz w:val="32"/>
          <w:szCs w:val="32"/>
          <w:lang w:val="en-US" w:eastAsia="zh-CN"/>
        </w:rPr>
        <w:t xml:space="preserve"> 算得清</w:t>
      </w:r>
      <w:r>
        <w:rPr>
          <w:rFonts w:hint="eastAsia" w:eastAsia="仿宋_GB2312"/>
          <w:sz w:val="32"/>
          <w:szCs w:val="32"/>
          <w:lang w:eastAsia="zh-CN"/>
        </w:rPr>
        <w:t>”社保政策宣传活动。组织开展社保业务培训。提升城区、乡（街道）、村（社区）三级社保服务质量。</w:t>
      </w:r>
    </w:p>
    <w:p>
      <w:pPr>
        <w:spacing w:line="600" w:lineRule="exact"/>
        <w:ind w:firstLine="640" w:firstLineChars="200"/>
        <w:outlineLvl w:val="0"/>
        <w:rPr>
          <w:rFonts w:eastAsia="楷体_GB2312"/>
          <w:sz w:val="32"/>
          <w:szCs w:val="32"/>
        </w:rPr>
      </w:pPr>
      <w:r>
        <w:rPr>
          <w:rFonts w:eastAsia="楷体_GB2312"/>
          <w:sz w:val="32"/>
          <w:szCs w:val="32"/>
        </w:rPr>
        <w:t>（三）项目产出情况。</w:t>
      </w:r>
      <w:r>
        <w:rPr>
          <w:rFonts w:hint="eastAsia" w:eastAsia="仿宋_GB2312"/>
          <w:sz w:val="32"/>
          <w:szCs w:val="32"/>
          <w:lang w:val="en-US" w:eastAsia="zh-CN"/>
        </w:rPr>
        <w:t>2021年七星区参加城乡居民基本养老保险18015人，基本养老保险入库率90.44%，七星区城乡居民基本养老保险区本级政府补贴资金67.22万元。</w:t>
      </w:r>
    </w:p>
    <w:p>
      <w:pPr>
        <w:spacing w:line="600" w:lineRule="exact"/>
        <w:ind w:firstLine="640" w:firstLineChars="200"/>
        <w:outlineLvl w:val="0"/>
        <w:rPr>
          <w:rFonts w:eastAsia="楷体_GB2312"/>
          <w:sz w:val="32"/>
          <w:szCs w:val="32"/>
        </w:rPr>
      </w:pPr>
      <w:r>
        <w:rPr>
          <w:rFonts w:eastAsia="楷体_GB2312"/>
          <w:sz w:val="32"/>
          <w:szCs w:val="32"/>
        </w:rPr>
        <w:t>（四）项目效益情况。</w:t>
      </w:r>
      <w:r>
        <w:rPr>
          <w:rFonts w:hint="eastAsia" w:eastAsia="仿宋_GB2312"/>
          <w:sz w:val="32"/>
          <w:szCs w:val="32"/>
          <w:lang w:val="en-US" w:eastAsia="zh-CN"/>
        </w:rPr>
        <w:t>促进社会和谐稳定，推动社会保险全覆盖。</w:t>
      </w:r>
    </w:p>
    <w:p>
      <w:pPr>
        <w:spacing w:line="600" w:lineRule="exact"/>
        <w:ind w:firstLine="640" w:firstLineChars="200"/>
        <w:rPr>
          <w:rFonts w:hint="eastAsia" w:hAnsi="黑体" w:eastAsia="黑体"/>
          <w:sz w:val="32"/>
          <w:szCs w:val="32"/>
          <w:lang w:eastAsia="zh-CN"/>
        </w:rPr>
      </w:pPr>
      <w:r>
        <w:rPr>
          <w:rFonts w:hAnsi="黑体" w:eastAsia="黑体"/>
          <w:sz w:val="32"/>
          <w:szCs w:val="32"/>
        </w:rPr>
        <w:t>五、主要经验及做法、存在的问题及原因分析</w:t>
      </w:r>
    </w:p>
    <w:p>
      <w:pPr>
        <w:spacing w:line="600" w:lineRule="exact"/>
        <w:ind w:firstLine="640" w:firstLineChars="200"/>
        <w:rPr>
          <w:rFonts w:hAnsi="黑体" w:eastAsia="黑体"/>
          <w:sz w:val="32"/>
          <w:szCs w:val="32"/>
        </w:rPr>
      </w:pPr>
      <w:r>
        <w:rPr>
          <w:rFonts w:hint="eastAsia" w:hAnsi="黑体" w:eastAsia="黑体"/>
          <w:sz w:val="32"/>
          <w:szCs w:val="32"/>
          <w:lang w:eastAsia="zh-CN"/>
        </w:rPr>
        <w:t>无。</w:t>
      </w:r>
    </w:p>
    <w:p>
      <w:pPr>
        <w:numPr>
          <w:ilvl w:val="0"/>
          <w:numId w:val="1"/>
        </w:numPr>
        <w:spacing w:line="600" w:lineRule="exact"/>
        <w:ind w:firstLine="640" w:firstLineChars="200"/>
        <w:rPr>
          <w:rFonts w:hAnsi="黑体" w:eastAsia="黑体"/>
          <w:sz w:val="32"/>
          <w:szCs w:val="32"/>
        </w:rPr>
      </w:pPr>
      <w:r>
        <w:rPr>
          <w:rFonts w:hAnsi="黑体" w:eastAsia="黑体"/>
          <w:sz w:val="32"/>
          <w:szCs w:val="32"/>
        </w:rPr>
        <w:t>有关建议</w:t>
      </w:r>
    </w:p>
    <w:p>
      <w:pPr>
        <w:spacing w:line="600" w:lineRule="exact"/>
        <w:ind w:firstLine="640" w:firstLineChars="200"/>
      </w:pPr>
      <w:r>
        <w:rPr>
          <w:rFonts w:hint="eastAsia" w:hAnsi="黑体" w:eastAsia="黑体"/>
          <w:sz w:val="32"/>
          <w:szCs w:val="32"/>
          <w:lang w:eastAsia="zh-CN"/>
        </w:rPr>
        <w:t>无。</w:t>
      </w:r>
    </w:p>
    <w:p>
      <w:pPr>
        <w:numPr>
          <w:ilvl w:val="0"/>
          <w:numId w:val="1"/>
        </w:numPr>
        <w:spacing w:line="600" w:lineRule="exact"/>
        <w:ind w:firstLine="640" w:firstLineChars="200"/>
        <w:rPr>
          <w:rFonts w:hAnsi="黑体" w:eastAsia="黑体"/>
          <w:sz w:val="32"/>
          <w:szCs w:val="32"/>
        </w:rPr>
      </w:pPr>
      <w:r>
        <w:rPr>
          <w:rFonts w:hAnsi="黑体" w:eastAsia="黑体"/>
          <w:sz w:val="32"/>
          <w:szCs w:val="32"/>
        </w:rPr>
        <w:t>其他需要说明的问题</w:t>
      </w:r>
    </w:p>
    <w:p>
      <w:pPr>
        <w:spacing w:line="600" w:lineRule="exact"/>
        <w:ind w:firstLine="640" w:firstLineChars="200"/>
      </w:pPr>
      <w:r>
        <w:rPr>
          <w:rFonts w:hint="eastAsia" w:hAnsi="黑体" w:eastAsia="黑体"/>
          <w:sz w:val="32"/>
          <w:szCs w:val="32"/>
          <w:lang w:eastAsia="zh-CN"/>
        </w:rPr>
        <w:t>无。</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方正小标宋_GBK">
    <w:altName w:val="微软雅黑"/>
    <w:panose1 w:val="03000509000000000000"/>
    <w:charset w:val="86"/>
    <w:family w:val="auto"/>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Arial Unicode MS">
    <w:altName w:val="宋体"/>
    <w:panose1 w:val="020B0604020202020204"/>
    <w:charset w:val="86"/>
    <w:family w:val="auto"/>
    <w:pitch w:val="default"/>
    <w:sig w:usb0="00000000" w:usb1="00000000" w:usb2="0000003F" w:usb3="00000000" w:csb0="603F01FF" w:csb1="FFFF0000"/>
  </w:font>
  <w:font w:name="楷体_GB2312">
    <w:altName w:val="楷体"/>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32"/>
        <w:szCs w:val="32"/>
      </w:rP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Pr>
        <w:rFonts w:ascii="宋体" w:hAnsi="宋体"/>
        <w:sz w:val="32"/>
        <w:szCs w:val="32"/>
        <w:lang w:val="zh-CN"/>
      </w:rPr>
      <w:t>-</w:t>
    </w:r>
    <w:r>
      <w:rPr>
        <w:rFonts w:ascii="宋体" w:hAnsi="宋体"/>
        <w:sz w:val="32"/>
        <w:szCs w:val="32"/>
      </w:rPr>
      <w:t xml:space="preserve"> 19 -</w:t>
    </w:r>
    <w:r>
      <w:rPr>
        <w:rFonts w:ascii="宋体" w:hAnsi="宋体"/>
        <w:sz w:val="32"/>
        <w:szCs w:val="32"/>
      </w:rPr>
      <w:fldChar w:fldCharType="end"/>
    </w:r>
  </w:p>
  <w:p>
    <w:pPr>
      <w:pStyle w:val="4"/>
      <w:rPr>
        <w:szCs w:val="3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B282CE"/>
    <w:multiLevelType w:val="singleLevel"/>
    <w:tmpl w:val="62B282CE"/>
    <w:lvl w:ilvl="0" w:tentative="0">
      <w:start w:val="6"/>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D096E"/>
    <w:rsid w:val="04DD096E"/>
    <w:rsid w:val="287165F8"/>
    <w:rsid w:val="2C8730E2"/>
    <w:rsid w:val="3A097A70"/>
    <w:rsid w:val="421A0849"/>
    <w:rsid w:val="43CC77E4"/>
    <w:rsid w:val="5CA86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Body Text First Indent"/>
    <w:basedOn w:val="3"/>
    <w:uiPriority w:val="0"/>
    <w:pPr>
      <w:spacing w:after="0" w:line="240" w:lineRule="auto"/>
      <w:ind w:firstLine="420" w:firstLineChars="100"/>
      <w:jc w:val="both"/>
    </w:pPr>
    <w:rPr>
      <w:rFonts w:ascii="Times New Roman" w:hAnsi="Times New Roman" w:eastAsia="宋体" w:cs="Times New Roman"/>
      <w:szCs w:val="24"/>
    </w:r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18"/>
    </w:rPr>
  </w:style>
  <w:style w:type="paragraph" w:customStyle="1" w:styleId="7">
    <w:name w:val="p0"/>
    <w:basedOn w:val="1"/>
    <w:qFormat/>
    <w:uiPriority w:val="0"/>
    <w:pPr>
      <w:widowControl/>
    </w:pPr>
    <w:rPr>
      <w:rFonts w:ascii="Times New Roman" w:hAnsi="Times New Roman"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2022-04-14T02:44:00Z</dcterms:created>
  <dc:creator>Administrator</dc:creator>
  <cp:lastModifiedBy>Administrator</cp:lastModifiedBy>
  <dcterms:modified xsi:type="dcterms:W3CDTF">2022-06-22T03:17:59Z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