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widowControl/>
        <w:ind w:left="0" w:leftChars="0" w:firstLine="640" w:firstLineChars="200"/>
        <w:jc w:val="left"/>
        <w:rPr>
          <w:rFonts w:eastAsia="楷体_GB2312"/>
          <w:sz w:val="32"/>
          <w:szCs w:val="32"/>
        </w:rPr>
      </w:pPr>
      <w:r>
        <w:rPr>
          <w:rFonts w:eastAsia="楷体_GB2312"/>
          <w:sz w:val="32"/>
          <w:szCs w:val="32"/>
        </w:rPr>
        <w:t>（一）项目概况</w:t>
      </w:r>
    </w:p>
    <w:p>
      <w:pPr>
        <w:widowControl/>
        <w:ind w:left="0" w:leftChars="0" w:firstLine="640" w:firstLineChars="200"/>
        <w:jc w:val="left"/>
        <w:rPr>
          <w:rFonts w:hint="eastAsia" w:ascii="仿宋_GB2312" w:hAnsi="仿宋_GB2312" w:eastAsia="仿宋_GB2312" w:cs="仿宋_GB2312"/>
          <w:kern w:val="0"/>
          <w:sz w:val="32"/>
          <w:szCs w:val="32"/>
          <w:lang w:eastAsia="zh-CN"/>
        </w:rPr>
      </w:pPr>
      <w:r>
        <w:rPr>
          <w:rFonts w:hint="eastAsia" w:eastAsia="楷体_GB2312" w:asciiTheme="minorAscii"/>
          <w:sz w:val="32"/>
          <w:szCs w:val="32"/>
          <w:lang w:val="en-US" w:eastAsia="zh-CN"/>
        </w:rPr>
        <w:t>1.</w:t>
      </w:r>
      <w:r>
        <w:rPr>
          <w:rFonts w:hint="eastAsia" w:eastAsia="楷体_GB2312"/>
          <w:sz w:val="32"/>
          <w:szCs w:val="32"/>
          <w:lang w:val="en-US" w:eastAsia="zh-CN"/>
        </w:rPr>
        <w:t>项目名称：</w:t>
      </w:r>
      <w:r>
        <w:rPr>
          <w:rFonts w:hint="eastAsia" w:ascii="仿宋_GB2312" w:hAnsi="仿宋_GB2312" w:eastAsia="仿宋_GB2312" w:cs="仿宋_GB2312"/>
          <w:sz w:val="32"/>
          <w:szCs w:val="32"/>
          <w:lang w:val="en-US" w:eastAsia="zh-CN"/>
        </w:rPr>
        <w:t>建筑业企业发展奖励经费</w:t>
      </w:r>
      <w:r>
        <w:rPr>
          <w:rFonts w:hint="eastAsia" w:ascii="仿宋_GB2312" w:hAnsi="仿宋_GB2312" w:eastAsia="仿宋_GB2312" w:cs="仿宋_GB2312"/>
          <w:kern w:val="0"/>
          <w:sz w:val="32"/>
          <w:szCs w:val="32"/>
          <w:lang w:eastAsia="zh-CN"/>
        </w:rPr>
        <w:t>。</w:t>
      </w:r>
    </w:p>
    <w:p>
      <w:pPr>
        <w:widowControl/>
        <w:ind w:left="0" w:leftChars="0" w:firstLine="640" w:firstLineChars="200"/>
        <w:jc w:val="left"/>
        <w:rPr>
          <w:rFonts w:hint="eastAsia" w:ascii="仿宋_GB2312" w:hAnsi="仿宋_GB2312" w:eastAsia="仿宋_GB2312" w:cs="仿宋_GB2312"/>
          <w:kern w:val="0"/>
          <w:sz w:val="32"/>
          <w:szCs w:val="32"/>
          <w:lang w:val="en-US" w:eastAsia="zh-CN"/>
        </w:rPr>
      </w:pPr>
      <w:r>
        <w:rPr>
          <w:rFonts w:hint="eastAsia" w:hAnsi="仿宋_GB2312" w:eastAsia="仿宋_GB2312" w:cs="仿宋_GB2312" w:asciiTheme="minorAscii"/>
          <w:kern w:val="0"/>
          <w:sz w:val="32"/>
          <w:szCs w:val="32"/>
          <w:lang w:val="en-US" w:eastAsia="zh-CN"/>
        </w:rPr>
        <w:t>2.</w:t>
      </w:r>
      <w:r>
        <w:rPr>
          <w:rFonts w:hint="eastAsia" w:ascii="楷体" w:hAnsi="楷体" w:eastAsia="楷体" w:cs="楷体"/>
          <w:sz w:val="32"/>
          <w:szCs w:val="32"/>
        </w:rPr>
        <w:t>主要内容</w:t>
      </w:r>
      <w:r>
        <w:rPr>
          <w:rFonts w:hint="eastAsia" w:eastAsia="仿宋_GB2312"/>
          <w:sz w:val="32"/>
          <w:szCs w:val="32"/>
          <w:lang w:eastAsia="zh-CN"/>
        </w:rPr>
        <w:t>：</w:t>
      </w:r>
      <w:r>
        <w:rPr>
          <w:rFonts w:hint="eastAsia" w:ascii="仿宋_GB2312" w:hAnsi="仿宋_GB2312" w:eastAsia="仿宋_GB2312" w:cs="仿宋_GB2312"/>
          <w:kern w:val="0"/>
          <w:sz w:val="32"/>
          <w:szCs w:val="32"/>
          <w:lang w:eastAsia="zh-CN"/>
        </w:rPr>
        <w:t>根据《桂林市人民政府关于印发促进和扶持建筑业发展的若干措施的通知》（市政规【</w:t>
      </w:r>
      <w:r>
        <w:rPr>
          <w:rFonts w:hint="eastAsia" w:ascii="仿宋_GB2312" w:hAnsi="仿宋_GB2312" w:eastAsia="仿宋_GB2312" w:cs="仿宋_GB2312"/>
          <w:kern w:val="0"/>
          <w:sz w:val="32"/>
          <w:szCs w:val="32"/>
          <w:lang w:val="en-US" w:eastAsia="zh-CN"/>
        </w:rPr>
        <w:t>2019】17号文件，对满足奖励条件的企业进行奖励，以促进和扶持建筑业企业发展。</w:t>
      </w:r>
    </w:p>
    <w:p>
      <w:pPr>
        <w:widowControl/>
        <w:ind w:left="0" w:leftChars="0" w:firstLine="640" w:firstLineChars="200"/>
        <w:jc w:val="left"/>
        <w:rPr>
          <w:rFonts w:hint="eastAsia" w:ascii="仿宋_GB2312" w:hAnsi="仿宋_GB2312" w:eastAsia="仿宋_GB2312" w:cs="仿宋_GB2312"/>
          <w:kern w:val="0"/>
          <w:sz w:val="32"/>
          <w:szCs w:val="32"/>
          <w:lang w:val="en-US" w:eastAsia="zh-CN"/>
        </w:rPr>
      </w:pPr>
      <w:r>
        <w:rPr>
          <w:rFonts w:hint="eastAsia" w:hAnsi="宋体" w:cs="宋体" w:asciiTheme="minorAscii"/>
          <w:kern w:val="0"/>
          <w:sz w:val="32"/>
          <w:szCs w:val="32"/>
          <w:lang w:val="en-US" w:eastAsia="zh-CN"/>
        </w:rPr>
        <w:t>3.</w:t>
      </w:r>
      <w:r>
        <w:rPr>
          <w:rFonts w:hint="eastAsia" w:ascii="楷体" w:hAnsi="楷体" w:eastAsia="楷体" w:cs="楷体"/>
          <w:kern w:val="0"/>
          <w:sz w:val="32"/>
          <w:szCs w:val="32"/>
          <w:lang w:val="en-US" w:eastAsia="zh-CN"/>
        </w:rPr>
        <w:t>实施情况：</w:t>
      </w:r>
      <w:r>
        <w:rPr>
          <w:rFonts w:hint="eastAsia" w:ascii="仿宋_GB2312" w:hAnsi="仿宋_GB2312" w:eastAsia="仿宋_GB2312" w:cs="仿宋_GB2312"/>
          <w:kern w:val="0"/>
          <w:sz w:val="32"/>
          <w:szCs w:val="32"/>
          <w:lang w:val="en-US" w:eastAsia="zh-CN"/>
        </w:rPr>
        <w:t>桂林市人民政府办公室《关于审定建筑业企业奖励资金的请示》文件处理笺（编号：第07号）和2020年12月10日七星区财政局部门《关于下达我区承担建筑业企业发展奖励资金的请示》的答复意见，对我区2019年度主营业务收入达到一定规模、资质晋升和获得国家级奖项的2家建筑业企业给予相应的奖励。</w:t>
      </w:r>
    </w:p>
    <w:p>
      <w:pPr>
        <w:widowControl/>
        <w:ind w:left="0" w:leftChars="0" w:firstLine="640" w:firstLineChars="200"/>
        <w:jc w:val="left"/>
        <w:rPr>
          <w:rFonts w:hint="eastAsia" w:ascii="仿宋_GB2312" w:hAnsi="仿宋_GB2312" w:eastAsia="仿宋_GB2312" w:cs="仿宋_GB2312"/>
          <w:kern w:val="0"/>
          <w:sz w:val="32"/>
          <w:szCs w:val="32"/>
          <w:lang w:val="en-US" w:eastAsia="zh-CN"/>
        </w:rPr>
      </w:pPr>
      <w:r>
        <w:rPr>
          <w:rFonts w:hint="eastAsia" w:hAnsi="宋体" w:cs="宋体" w:asciiTheme="minorAscii"/>
          <w:kern w:val="0"/>
          <w:sz w:val="32"/>
          <w:szCs w:val="32"/>
          <w:lang w:val="en-US" w:eastAsia="zh-CN"/>
        </w:rPr>
        <w:t>4.</w:t>
      </w:r>
      <w:r>
        <w:rPr>
          <w:rFonts w:hint="eastAsia" w:ascii="楷体" w:hAnsi="楷体" w:eastAsia="楷体" w:cs="楷体"/>
          <w:kern w:val="0"/>
          <w:sz w:val="32"/>
          <w:szCs w:val="32"/>
          <w:lang w:val="en-US" w:eastAsia="zh-CN"/>
        </w:rPr>
        <w:t>资金投入:</w:t>
      </w:r>
      <w:r>
        <w:rPr>
          <w:rFonts w:hint="eastAsia" w:ascii="仿宋_GB2312" w:hAnsi="仿宋_GB2312" w:eastAsia="仿宋_GB2312" w:cs="仿宋_GB2312"/>
          <w:kern w:val="0"/>
          <w:sz w:val="32"/>
          <w:szCs w:val="32"/>
          <w:lang w:val="en-US" w:eastAsia="zh-CN"/>
        </w:rPr>
        <w:t>城区财政承担50%部分，</w:t>
      </w:r>
      <w:r>
        <w:rPr>
          <w:rFonts w:hint="eastAsia" w:ascii="仿宋_GB2312" w:hAnsi="仿宋_GB2312" w:eastAsia="仿宋_GB2312" w:cs="仿宋_GB2312"/>
          <w:kern w:val="0"/>
          <w:sz w:val="32"/>
          <w:szCs w:val="32"/>
          <w:lang w:eastAsia="zh-CN"/>
        </w:rPr>
        <w:t>建筑业企业发展奖励经费</w:t>
      </w:r>
      <w:r>
        <w:rPr>
          <w:rFonts w:hint="eastAsia" w:ascii="仿宋_GB2312" w:hAnsi="仿宋_GB2312" w:eastAsia="仿宋_GB2312" w:cs="仿宋_GB2312"/>
          <w:kern w:val="0"/>
          <w:sz w:val="32"/>
          <w:szCs w:val="32"/>
          <w:lang w:val="en-US" w:eastAsia="zh-CN"/>
        </w:rPr>
        <w:t>175万元，其中：广西建工集团第四建筑工程有限责</w:t>
      </w:r>
      <w:bookmarkStart w:id="0" w:name="_GoBack"/>
      <w:bookmarkEnd w:id="0"/>
      <w:r>
        <w:rPr>
          <w:rFonts w:hint="eastAsia" w:ascii="仿宋_GB2312" w:hAnsi="仿宋_GB2312" w:eastAsia="仿宋_GB2312" w:cs="仿宋_GB2312"/>
          <w:kern w:val="0"/>
          <w:sz w:val="32"/>
          <w:szCs w:val="32"/>
          <w:lang w:val="en-US" w:eastAsia="zh-CN"/>
        </w:rPr>
        <w:t>任公司120万元；中国石油天然气第六建建设有限公司55万元。</w:t>
      </w:r>
    </w:p>
    <w:p>
      <w:pPr>
        <w:spacing w:line="600" w:lineRule="exact"/>
        <w:ind w:left="0" w:leftChars="0"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使用情况等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2021年4月拨付</w:t>
      </w:r>
      <w:r>
        <w:rPr>
          <w:rFonts w:hint="eastAsia" w:ascii="仿宋_GB2312" w:hAnsi="仿宋_GB2312" w:eastAsia="仿宋_GB2312" w:cs="仿宋_GB2312"/>
          <w:kern w:val="0"/>
          <w:sz w:val="32"/>
          <w:szCs w:val="32"/>
          <w:lang w:val="en-US" w:eastAsia="zh-CN"/>
        </w:rPr>
        <w:t>中国石油天然气第六建建设有限公司</w:t>
      </w:r>
      <w:r>
        <w:rPr>
          <w:rFonts w:hint="eastAsia" w:ascii="仿宋_GB2312" w:hAnsi="仿宋_GB2312" w:eastAsia="仿宋_GB2312" w:cs="仿宋_GB2312"/>
          <w:sz w:val="32"/>
          <w:szCs w:val="32"/>
          <w:lang w:val="en-US" w:eastAsia="zh-CN"/>
        </w:rPr>
        <w:t>2019年度市政府促进和扶持建筑业发展奖励资金</w:t>
      </w:r>
      <w:r>
        <w:rPr>
          <w:rFonts w:hint="eastAsia" w:ascii="仿宋_GB2312" w:hAnsi="仿宋_GB2312" w:eastAsia="仿宋_GB2312" w:cs="仿宋_GB2312"/>
          <w:kern w:val="0"/>
          <w:sz w:val="32"/>
          <w:szCs w:val="32"/>
          <w:lang w:val="en-US" w:eastAsia="zh-CN"/>
        </w:rPr>
        <w:t>55万元；由于广西建工集团第四建筑工程有限责任公司所属税务所在地未能及时迁入七星区，税收未纳入本辖区，区财政不予拨付120万元奖励资金。</w:t>
      </w:r>
    </w:p>
    <w:p>
      <w:pPr>
        <w:widowControl/>
        <w:ind w:left="0" w:leftChars="0" w:firstLine="640" w:firstLineChars="200"/>
        <w:jc w:val="left"/>
        <w:rPr>
          <w:rFonts w:eastAsia="楷体_GB2312"/>
          <w:sz w:val="32"/>
          <w:szCs w:val="32"/>
        </w:rPr>
      </w:pPr>
      <w:r>
        <w:rPr>
          <w:rFonts w:eastAsia="楷体_GB2312"/>
          <w:sz w:val="32"/>
          <w:szCs w:val="32"/>
        </w:rPr>
        <w:t>（二）项目绩效目标</w:t>
      </w:r>
    </w:p>
    <w:p>
      <w:pPr>
        <w:widowControl/>
        <w:ind w:firstLine="640" w:firstLineChars="200"/>
        <w:jc w:val="left"/>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2019年度主营业务收入达到一定规模、资质晋升和获得国家级奖项的2家建筑业企业给予相应</w:t>
      </w:r>
      <w:r>
        <w:rPr>
          <w:rFonts w:hint="eastAsia" w:ascii="仿宋_GB2312" w:hAnsi="仿宋_GB2312" w:eastAsia="仿宋_GB2312" w:cs="仿宋_GB2312"/>
          <w:kern w:val="0"/>
          <w:sz w:val="32"/>
          <w:szCs w:val="32"/>
          <w:lang w:eastAsia="zh-CN"/>
        </w:rPr>
        <w:t>建筑业企业发展奖励经费</w:t>
      </w:r>
      <w:r>
        <w:rPr>
          <w:rFonts w:hint="eastAsia" w:ascii="仿宋_GB2312" w:hAnsi="仿宋_GB2312" w:eastAsia="仿宋_GB2312" w:cs="仿宋_GB2312"/>
          <w:kern w:val="0"/>
          <w:sz w:val="32"/>
          <w:szCs w:val="32"/>
          <w:lang w:val="en-US" w:eastAsia="zh-CN"/>
        </w:rPr>
        <w:t>175万元，其中：广西建工集团第四建筑工程有限责任公司120万元；中国石油天然气第六建建设有限公司55万元。</w:t>
      </w:r>
    </w:p>
    <w:p>
      <w:pPr>
        <w:widowControl/>
        <w:ind w:firstLine="640" w:firstLineChars="200"/>
        <w:jc w:val="left"/>
        <w:rPr>
          <w:rFonts w:eastAsia="黑体"/>
          <w:sz w:val="32"/>
          <w:szCs w:val="32"/>
        </w:rPr>
      </w:pPr>
      <w:r>
        <w:rPr>
          <w:rFonts w:hAnsi="黑体" w:eastAsia="黑体"/>
          <w:sz w:val="32"/>
          <w:szCs w:val="32"/>
        </w:rPr>
        <w:t>二、绩效评价工作开展情况</w:t>
      </w:r>
    </w:p>
    <w:p>
      <w:pPr>
        <w:spacing w:line="600" w:lineRule="exact"/>
        <w:ind w:firstLine="640" w:firstLineChars="200"/>
        <w:rPr>
          <w:rFonts w:hint="eastAsia" w:ascii="仿宋_GB2312" w:hAnsi="仿宋_GB2312" w:eastAsia="仿宋_GB2312" w:cs="仿宋_GB2312"/>
          <w:kern w:val="0"/>
          <w:sz w:val="32"/>
          <w:szCs w:val="32"/>
          <w:lang w:val="en-US" w:eastAsia="zh-CN"/>
        </w:rPr>
      </w:pPr>
      <w:r>
        <w:rPr>
          <w:rFonts w:eastAsia="楷体_GB2312"/>
          <w:sz w:val="32"/>
          <w:szCs w:val="32"/>
        </w:rPr>
        <w:t>（一）绩效评价目的、对象和范围。</w:t>
      </w:r>
      <w:r>
        <w:rPr>
          <w:rFonts w:hint="eastAsia" w:ascii="仿宋_GB2312" w:hAnsi="仿宋_GB2312" w:eastAsia="仿宋_GB2312" w:cs="仿宋_GB2312"/>
          <w:sz w:val="32"/>
          <w:szCs w:val="32"/>
          <w:lang w:val="en-US" w:eastAsia="zh-CN"/>
        </w:rPr>
        <w:t>为促进和扶持建筑业企业发展，对</w:t>
      </w:r>
      <w:r>
        <w:rPr>
          <w:rFonts w:hint="eastAsia" w:ascii="仿宋_GB2312" w:hAnsi="仿宋_GB2312" w:eastAsia="仿宋_GB2312" w:cs="仿宋_GB2312"/>
          <w:kern w:val="0"/>
          <w:sz w:val="32"/>
          <w:szCs w:val="32"/>
          <w:lang w:val="en-US" w:eastAsia="zh-CN"/>
        </w:rPr>
        <w:t>2019年度主营业务收入达到一定规模、资质晋升和获得国家级奖项的2家建筑业企业进行奖励。</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eastAsia="楷体_GB2312"/>
          <w:sz w:val="32"/>
          <w:szCs w:val="32"/>
          <w:lang w:val="en-US" w:eastAsia="zh-CN"/>
        </w:rPr>
        <w:t>1.原则：</w:t>
      </w:r>
      <w:r>
        <w:rPr>
          <w:rFonts w:hint="eastAsia" w:ascii="仿宋_GB2312" w:hAnsi="仿宋_GB2312" w:eastAsia="仿宋_GB2312" w:cs="仿宋_GB2312"/>
          <w:sz w:val="32"/>
          <w:szCs w:val="32"/>
          <w:lang w:val="en-US" w:eastAsia="zh-CN"/>
        </w:rPr>
        <w:t>落实《中共中央国务院关于全面实施预算绩效管理的意见》精神，树立和强化“花钱必问效”的绩效理念强化支出责任，优化资源配置，进一步提高预算管理水平和财政资金使用效益。</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eastAsia="楷体_GB2312"/>
          <w:sz w:val="32"/>
          <w:szCs w:val="32"/>
          <w:lang w:val="en-US" w:eastAsia="zh-CN"/>
        </w:rPr>
        <w:t>2.方法：</w:t>
      </w:r>
      <w:r>
        <w:rPr>
          <w:rFonts w:hint="eastAsia" w:ascii="仿宋_GB2312" w:hAnsi="仿宋_GB2312" w:eastAsia="仿宋_GB2312" w:cs="仿宋_GB2312"/>
          <w:sz w:val="32"/>
          <w:szCs w:val="32"/>
          <w:lang w:val="en-US" w:eastAsia="zh-CN"/>
        </w:rPr>
        <w:t>根据2021年预算项目</w:t>
      </w:r>
      <w:r>
        <w:rPr>
          <w:rFonts w:hint="default" w:ascii="仿宋_GB2312" w:hAnsi="仿宋_GB2312" w:eastAsia="仿宋_GB2312" w:cs="仿宋_GB2312"/>
          <w:sz w:val="32"/>
          <w:szCs w:val="32"/>
          <w:lang w:val="en-US" w:eastAsia="zh-CN"/>
        </w:rPr>
        <w:t>绩效</w:t>
      </w:r>
      <w:r>
        <w:rPr>
          <w:rFonts w:hint="eastAsia" w:ascii="仿宋_GB2312" w:hAnsi="仿宋_GB2312" w:eastAsia="仿宋_GB2312" w:cs="仿宋_GB2312"/>
          <w:sz w:val="32"/>
          <w:szCs w:val="32"/>
          <w:lang w:val="en-US" w:eastAsia="zh-CN"/>
        </w:rPr>
        <w:t>编制内容，结合实施情况进行</w:t>
      </w:r>
      <w:r>
        <w:rPr>
          <w:rFonts w:hint="default" w:ascii="仿宋_GB2312" w:hAnsi="仿宋_GB2312" w:eastAsia="仿宋_GB2312" w:cs="仿宋_GB2312"/>
          <w:sz w:val="32"/>
          <w:szCs w:val="32"/>
          <w:lang w:val="en-US" w:eastAsia="zh-CN"/>
        </w:rPr>
        <w:t>自评</w:t>
      </w:r>
      <w:r>
        <w:rPr>
          <w:rFonts w:hint="eastAsia" w:ascii="仿宋_GB2312" w:hAnsi="仿宋_GB2312" w:eastAsia="仿宋_GB2312" w:cs="仿宋_GB2312"/>
          <w:sz w:val="32"/>
          <w:szCs w:val="32"/>
          <w:lang w:val="en-US" w:eastAsia="zh-CN"/>
        </w:rPr>
        <w:t>，查找分析偏差原因，针对问题进行下一步改进措施，强化支出使用效益。</w:t>
      </w:r>
    </w:p>
    <w:p>
      <w:pPr>
        <w:pStyle w:val="2"/>
        <w:keepNext w:val="0"/>
        <w:keepLines w:val="0"/>
        <w:pageBreakBefore w:val="0"/>
        <w:widowControl w:val="0"/>
        <w:kinsoku/>
        <w:wordWrap/>
        <w:overflowPunct/>
        <w:topLinePunct w:val="0"/>
        <w:autoSpaceDE/>
        <w:autoSpaceDN/>
        <w:bidi w:val="0"/>
        <w:spacing w:line="460" w:lineRule="atLeas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eastAsia="楷体_GB2312"/>
          <w:sz w:val="32"/>
          <w:szCs w:val="32"/>
          <w:lang w:val="en-US" w:eastAsia="zh-CN"/>
        </w:rPr>
        <w:t>3.标准：</w:t>
      </w:r>
      <w:r>
        <w:rPr>
          <w:rFonts w:hint="eastAsia" w:ascii="仿宋_GB2312" w:hAnsi="仿宋_GB2312" w:eastAsia="仿宋_GB2312" w:cs="仿宋_GB2312"/>
          <w:sz w:val="32"/>
          <w:szCs w:val="32"/>
          <w:lang w:val="en-US" w:eastAsia="zh-CN"/>
        </w:rPr>
        <w:t>从投入、过程、产出、效果4个方面对项目管理、资金管理、项目绩效等进行综合评分，完成率达80%。</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p>
    <w:p>
      <w:pPr>
        <w:spacing w:line="600" w:lineRule="exact"/>
        <w:ind w:firstLine="640" w:firstLineChars="200"/>
        <w:outlineLvl w:val="0"/>
        <w:rPr>
          <w:rFonts w:eastAsia="楷体_GB2312"/>
          <w:sz w:val="32"/>
          <w:szCs w:val="32"/>
        </w:rPr>
      </w:pPr>
      <w:r>
        <w:rPr>
          <w:rFonts w:eastAsia="楷体_GB2312"/>
          <w:sz w:val="32"/>
          <w:szCs w:val="32"/>
        </w:rPr>
        <w:t>（二）项目过程情况。</w:t>
      </w:r>
    </w:p>
    <w:p>
      <w:pPr>
        <w:spacing w:line="600" w:lineRule="exact"/>
        <w:ind w:firstLine="640" w:firstLineChars="200"/>
        <w:outlineLvl w:val="0"/>
        <w:rPr>
          <w:rFonts w:eastAsia="楷体_GB2312"/>
          <w:sz w:val="32"/>
          <w:szCs w:val="32"/>
        </w:rPr>
      </w:pPr>
      <w:r>
        <w:rPr>
          <w:rFonts w:eastAsia="楷体_GB2312"/>
          <w:sz w:val="32"/>
          <w:szCs w:val="32"/>
        </w:rPr>
        <w:t>（三）项目产出情况。</w:t>
      </w:r>
    </w:p>
    <w:p>
      <w:pPr>
        <w:spacing w:line="600" w:lineRule="exact"/>
        <w:ind w:firstLine="640" w:firstLineChars="200"/>
        <w:outlineLvl w:val="0"/>
        <w:rPr>
          <w:rFonts w:eastAsia="楷体_GB2312"/>
          <w:sz w:val="32"/>
          <w:szCs w:val="32"/>
        </w:rPr>
      </w:pPr>
      <w:r>
        <w:rPr>
          <w:rFonts w:eastAsia="楷体_GB2312"/>
          <w:sz w:val="32"/>
          <w:szCs w:val="32"/>
        </w:rPr>
        <w:t>（四）项目效益情况。</w:t>
      </w:r>
    </w:p>
    <w:p>
      <w:pPr>
        <w:spacing w:line="600" w:lineRule="exact"/>
        <w:ind w:firstLine="640" w:firstLineChars="200"/>
        <w:rPr>
          <w:rFonts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Ansi="黑体" w:eastAsia="黑体"/>
          <w:sz w:val="32"/>
          <w:szCs w:val="32"/>
        </w:rPr>
        <w:t>六、有关建议</w:t>
      </w:r>
    </w:p>
    <w:p>
      <w:pPr>
        <w:spacing w:line="600" w:lineRule="exact"/>
        <w:ind w:firstLine="640" w:firstLineChars="200"/>
        <w:rPr>
          <w:rFonts w:eastAsia="仿宋_GB2312"/>
          <w:bCs/>
          <w:sz w:val="32"/>
          <w:szCs w:val="32"/>
        </w:rPr>
      </w:pPr>
      <w:r>
        <w:rPr>
          <w:rFonts w:hAnsi="黑体" w:eastAsia="黑体"/>
          <w:sz w:val="32"/>
          <w:szCs w:val="32"/>
        </w:rPr>
        <w:t>七、其他需要说明的问题</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4"/>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1467684"/>
    <w:rsid w:val="04374E9C"/>
    <w:rsid w:val="04DD096E"/>
    <w:rsid w:val="099B45F6"/>
    <w:rsid w:val="18C225E6"/>
    <w:rsid w:val="19ED2BFF"/>
    <w:rsid w:val="1B193D14"/>
    <w:rsid w:val="240F3CE1"/>
    <w:rsid w:val="35ED36E6"/>
    <w:rsid w:val="3A097A70"/>
    <w:rsid w:val="407A2674"/>
    <w:rsid w:val="47B14E06"/>
    <w:rsid w:val="501743E8"/>
    <w:rsid w:val="535D257D"/>
    <w:rsid w:val="56EB65D5"/>
    <w:rsid w:val="5C645579"/>
    <w:rsid w:val="5CA86B02"/>
    <w:rsid w:val="5EE17479"/>
    <w:rsid w:val="6092270D"/>
    <w:rsid w:val="610C235B"/>
    <w:rsid w:val="66087C81"/>
    <w:rsid w:val="679C3789"/>
    <w:rsid w:val="69DF7C45"/>
    <w:rsid w:val="70784F2B"/>
    <w:rsid w:val="70E2137C"/>
    <w:rsid w:val="7DF235CD"/>
    <w:rsid w:val="7F260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uiPriority w:val="0"/>
    <w:pPr>
      <w:ind w:firstLine="420" w:firstLineChars="100"/>
    </w:pPr>
  </w:style>
  <w:style w:type="paragraph" w:styleId="3">
    <w:name w:val="Body Text"/>
    <w:basedOn w:val="1"/>
    <w:uiPriority w:val="0"/>
    <w:pPr>
      <w:adjustRightInd w:val="0"/>
      <w:snapToGrid w:val="0"/>
      <w:spacing w:line="360" w:lineRule="auto"/>
    </w:pPr>
    <w:rPr>
      <w:rFonts w:ascii="Times New Roman" w:hAnsi="Times New Roman" w:cs="Times New Roman"/>
      <w:sz w:val="24"/>
      <w:szCs w:val="24"/>
    </w:rPr>
  </w:style>
  <w:style w:type="paragraph" w:styleId="4">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2023-10-12T02:00:12Z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