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szCs w:val="30"/>
        </w:rPr>
      </w:pP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</w:p>
    <w:p>
      <w:pPr>
        <w:spacing w:line="600" w:lineRule="exact"/>
        <w:ind w:firstLine="640" w:firstLineChars="200"/>
        <w:outlineLvl w:val="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根据</w:t>
      </w:r>
      <w:r>
        <w:rPr>
          <w:rFonts w:hint="eastAsia" w:eastAsia="仿宋_GB2312"/>
          <w:sz w:val="32"/>
          <w:szCs w:val="32"/>
        </w:rPr>
        <w:t>《</w:t>
      </w:r>
      <w:r>
        <w:rPr>
          <w:rFonts w:hint="eastAsia" w:eastAsia="仿宋_GB2312"/>
          <w:sz w:val="32"/>
          <w:szCs w:val="32"/>
          <w:lang w:val="en-US" w:eastAsia="zh-CN"/>
        </w:rPr>
        <w:t>桂林市</w:t>
      </w:r>
      <w:r>
        <w:rPr>
          <w:rFonts w:hint="eastAsia" w:eastAsia="仿宋_GB2312"/>
          <w:sz w:val="32"/>
          <w:szCs w:val="32"/>
        </w:rPr>
        <w:t>住房安全保障战役指挥部关于印发全面摸清建档立卡贫困户等4类重点对象以外农户住房安全情况实施方案的通知》要求,全面摸清我</w:t>
      </w:r>
      <w:r>
        <w:rPr>
          <w:rFonts w:hint="eastAsia" w:eastAsia="仿宋_GB2312"/>
          <w:sz w:val="32"/>
          <w:szCs w:val="32"/>
          <w:lang w:val="en-US" w:eastAsia="zh-CN"/>
        </w:rPr>
        <w:t>区</w:t>
      </w:r>
      <w:r>
        <w:rPr>
          <w:rFonts w:hint="eastAsia" w:eastAsia="仿宋_GB2312"/>
          <w:sz w:val="32"/>
          <w:szCs w:val="32"/>
        </w:rPr>
        <w:t>建档立卡贫困户等4类重点对象以外农户住房安全情况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val="en-US" w:eastAsia="zh-CN"/>
        </w:rPr>
        <w:t>委托第三方鉴定机构（广西建宏工程科技有限公司）与朝阳乡、穿山街道、华侨旅游经济区联合排查，对辖区内建档立卡贫困户等4类重点对象以外农户住房安全情况进行排查鉴定，并形成纸质台账。排查鉴定费 21.4万元（排查鉴定费20元/户，约1.07万户）。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项目绩效目标。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完成我区建档立卡贫困户等4类重点对象以外农户住房安全排查鉴定工作。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（一）绩效评价目的、对象和范围。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全面摸清我区建档立卡贫困户等4类重点对象以外农户住房安全情况,建立存量危房数据库。调查对象为辖区内建档立卡贫困户、低保户、农村分散供养特困人员、残疾人贫困户等4类重点对象以外的农户住房。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楷体_GB2312"/>
          <w:color w:val="auto"/>
          <w:sz w:val="32"/>
          <w:szCs w:val="32"/>
        </w:rPr>
      </w:pPr>
      <w:r>
        <w:rPr>
          <w:rFonts w:eastAsia="楷体_GB2312"/>
          <w:color w:val="auto"/>
          <w:sz w:val="32"/>
          <w:szCs w:val="32"/>
        </w:rPr>
        <w:t>（二）绩效评价原则、评价指标体系（附表说明）、评价方法、评价标准等。</w:t>
      </w:r>
    </w:p>
    <w:p>
      <w:pPr>
        <w:spacing w:line="600" w:lineRule="exact"/>
        <w:ind w:firstLine="640" w:firstLineChars="200"/>
        <w:rPr>
          <w:rFonts w:eastAsia="楷体_GB2312"/>
          <w:color w:val="auto"/>
          <w:sz w:val="32"/>
          <w:szCs w:val="32"/>
        </w:rPr>
      </w:pPr>
      <w:r>
        <w:rPr>
          <w:rFonts w:eastAsia="楷体_GB2312"/>
          <w:color w:val="auto"/>
          <w:sz w:val="32"/>
          <w:szCs w:val="32"/>
        </w:rPr>
        <w:t>（三）绩效评价工作过程。</w:t>
      </w:r>
    </w:p>
    <w:p>
      <w:pPr>
        <w:spacing w:line="600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hAnsi="黑体" w:eastAsia="黑体"/>
          <w:color w:val="auto"/>
          <w:sz w:val="32"/>
          <w:szCs w:val="32"/>
        </w:rPr>
        <w:t>三、综合评价情况及评价结论</w:t>
      </w:r>
      <w:r>
        <w:rPr>
          <w:rFonts w:eastAsia="仿宋_GB2312"/>
          <w:color w:val="auto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hint="eastAsia" w:eastAsia="仿宋_GB2312"/>
          <w:color w:val="auto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按照上级时间节点和工作要求完成了</w:t>
      </w:r>
      <w:r>
        <w:rPr>
          <w:rFonts w:hint="eastAsia" w:eastAsia="仿宋_GB2312"/>
          <w:sz w:val="32"/>
          <w:szCs w:val="32"/>
          <w:lang w:val="en-US" w:eastAsia="zh-CN"/>
        </w:rPr>
        <w:t>我区建档立卡贫困户等4类重点对象以外农户住房安全情况，并及时向第三方鉴定机构拨付了排查鉴定费用。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（二）项目过程情况。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委托第三方鉴定机构（广西建宏工程科技有限公司）与朝阳乡、穿山街道、华侨旅游经济区联合排查，对辖区内建档立卡贫困户等4类重点对象以外农户住房安全情况进行排查鉴定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全面摸清</w:t>
      </w:r>
      <w:r>
        <w:rPr>
          <w:rFonts w:hint="eastAsia" w:eastAsia="仿宋_GB2312"/>
          <w:sz w:val="32"/>
          <w:szCs w:val="32"/>
          <w:lang w:val="en-US" w:eastAsia="zh-CN"/>
        </w:rPr>
        <w:t>辖区内</w:t>
      </w:r>
      <w:r>
        <w:rPr>
          <w:rFonts w:hint="eastAsia" w:eastAsia="仿宋_GB2312"/>
          <w:sz w:val="32"/>
          <w:szCs w:val="32"/>
        </w:rPr>
        <w:t>建档立卡贫困户等4类重点对象以外农户住房安全情况</w:t>
      </w:r>
      <w:r>
        <w:rPr>
          <w:rFonts w:hint="eastAsia" w:eastAsia="仿宋_GB2312"/>
          <w:sz w:val="32"/>
          <w:szCs w:val="32"/>
          <w:lang w:val="en-US" w:eastAsia="zh-CN"/>
        </w:rPr>
        <w:t>并形成纸质台账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约1.07万户。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项目效益情况。</w:t>
      </w:r>
    </w:p>
    <w:p>
      <w:pPr>
        <w:numPr>
          <w:numId w:val="0"/>
        </w:numPr>
        <w:spacing w:line="600" w:lineRule="exact"/>
        <w:outlineLvl w:val="0"/>
        <w:rPr>
          <w:rFonts w:hint="eastAsia" w:eastAsia="楷体_GB2312"/>
          <w:sz w:val="32"/>
          <w:szCs w:val="32"/>
          <w:lang w:val="en-US" w:eastAsia="zh-CN"/>
        </w:rPr>
      </w:pPr>
      <w:r>
        <w:rPr>
          <w:rFonts w:hint="eastAsia" w:eastAsia="楷体_GB2312"/>
          <w:sz w:val="32"/>
          <w:szCs w:val="32"/>
          <w:lang w:val="en-US" w:eastAsia="zh-CN"/>
        </w:rPr>
        <w:t xml:space="preserve">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保障辖区内</w:t>
      </w:r>
      <w:r>
        <w:rPr>
          <w:rFonts w:hint="eastAsia" w:eastAsia="仿宋_GB2312"/>
          <w:sz w:val="32"/>
          <w:szCs w:val="32"/>
        </w:rPr>
        <w:t>建档立卡贫困户等4类重点对象以外农户住房安全</w:t>
      </w:r>
      <w:r>
        <w:rPr>
          <w:rFonts w:hint="eastAsia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roma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roman"/>
    <w:pitch w:val="default"/>
    <w:sig w:usb0="00000000" w:usb1="00000000" w:usb2="00000000" w:usb3="00000000" w:csb0="00040000" w:csb1="00000000"/>
  </w:font>
  <w:font w:name="方正黑体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楷体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FA37"/>
    <w:multiLevelType w:val="singleLevel"/>
    <w:tmpl w:val="62AAFA37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2AB03B7"/>
    <w:multiLevelType w:val="singleLevel"/>
    <w:tmpl w:val="62AB03B7"/>
    <w:lvl w:ilvl="0" w:tentative="0">
      <w:start w:val="4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3A097A70"/>
    <w:rsid w:val="492D4A76"/>
    <w:rsid w:val="5CA86B02"/>
    <w:rsid w:val="6746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2022-06-16T09:59:39Z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