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七星区政务服务中心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项目支出绩效评价报告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eastAsia="方正小标宋简体"/>
          <w:bCs/>
          <w:sz w:val="44"/>
          <w:szCs w:val="44"/>
          <w:lang w:eastAsia="zh-CN"/>
        </w:rPr>
      </w:pPr>
      <w:r>
        <w:rPr>
          <w:rFonts w:hint="eastAsia" w:eastAsia="方正小标宋简体"/>
          <w:bCs/>
          <w:sz w:val="44"/>
          <w:szCs w:val="44"/>
          <w:lang w:eastAsia="zh-CN"/>
        </w:rPr>
        <w:t>（业务经费）</w:t>
      </w:r>
    </w:p>
    <w:p>
      <w:pPr>
        <w:jc w:val="center"/>
        <w:rPr>
          <w:szCs w:val="30"/>
        </w:rPr>
      </w:pP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一、基本情况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（一）项目概况</w:t>
      </w:r>
    </w:p>
    <w:p>
      <w:pPr>
        <w:spacing w:line="600" w:lineRule="exact"/>
        <w:ind w:firstLine="640" w:firstLineChars="200"/>
        <w:outlineLvl w:val="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我单位业务经费项目2021年预算18万元（该项目系从政管办划拨，实际下达指标15.47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万元），其构成是：地方补助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18万元，包括：区本级安排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18万元，均为年初预算安排。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（二）项目绩效目标</w:t>
      </w:r>
    </w:p>
    <w:p>
      <w:pPr>
        <w:spacing w:line="600" w:lineRule="exact"/>
        <w:ind w:firstLine="640" w:firstLineChars="200"/>
        <w:outlineLvl w:val="0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我单位业务经费项目2021年的总体绩效目标是：当年度区政务服务中心正常运行和“两公开”工作正常开展。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二、绩效评价工作开展情况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（一）绩效评价目的、对象和范围</w:t>
      </w:r>
    </w:p>
    <w:p>
      <w:pPr>
        <w:spacing w:line="600" w:lineRule="exact"/>
        <w:ind w:firstLine="640" w:firstLineChars="200"/>
        <w:outlineLvl w:val="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绩效评价工作的目的是：客观揭示财政资金的使用效益和单位职能的实现程度，强化预算支出的责任和效率；绩效评价的对象和范围：本单位业务经费项目在2021年度的执行进度和达成效益。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绩效评价原则、评价指标体系、评价方法、评价标准等</w:t>
      </w:r>
    </w:p>
    <w:p>
      <w:pPr>
        <w:numPr>
          <w:numId w:val="0"/>
        </w:num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1.绩效评价原则：一是科学规范原则，二是公开公正原则，三是分级分类原则，四是绩效相关原则。</w:t>
      </w:r>
    </w:p>
    <w:p>
      <w:pPr>
        <w:numPr>
          <w:numId w:val="0"/>
        </w:numPr>
        <w:spacing w:line="600" w:lineRule="exact"/>
        <w:ind w:firstLine="640" w:firstLineChars="200"/>
        <w:outlineLvl w:val="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2.评价方法和评价标准：通过查看广西数字政务一体化平台后台一窗受理率、网上办件率、群众好评率等相关绩效指标是否已达到年度指标值，结合2021年度预算执行情况情况，进行综合评分。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（三）绩效评价工作过程。</w:t>
      </w:r>
    </w:p>
    <w:p>
      <w:pPr>
        <w:spacing w:line="600" w:lineRule="exact"/>
        <w:ind w:firstLine="640" w:firstLineChars="200"/>
        <w:outlineLvl w:val="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Times New Roman"/>
          <w:sz w:val="32"/>
          <w:szCs w:val="32"/>
        </w:rPr>
        <w:t>前期准备。通过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预算管理一体化系统</w:t>
      </w:r>
      <w:r>
        <w:rPr>
          <w:rFonts w:hint="eastAsia" w:ascii="仿宋_GB2312" w:hAnsi="Calibri" w:eastAsia="仿宋_GB2312" w:cs="Times New Roman"/>
          <w:sz w:val="32"/>
          <w:szCs w:val="32"/>
        </w:rPr>
        <w:t>查询当年预算执行情况，梳理资金分配及收支情况，并根据《关于开展项目预算绩效自评的事项说明》确定自评项目。</w:t>
      </w:r>
    </w:p>
    <w:p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Calibri" w:eastAsia="仿宋_GB2312" w:cs="Times New Roman"/>
          <w:sz w:val="32"/>
          <w:szCs w:val="32"/>
        </w:rPr>
        <w:t>组织过程。资金使用部门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负责人组织财务人员、报账员</w:t>
      </w:r>
      <w:r>
        <w:rPr>
          <w:rFonts w:hint="eastAsia" w:ascii="仿宋_GB2312" w:hAnsi="Calibri" w:eastAsia="仿宋_GB2312" w:cs="Times New Roman"/>
          <w:sz w:val="32"/>
          <w:szCs w:val="32"/>
        </w:rPr>
        <w:t>填写按项目汇总的自评表和撰写自评报告。</w:t>
      </w:r>
    </w:p>
    <w:p>
      <w:pPr>
        <w:spacing w:line="56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Times New Roman"/>
          <w:sz w:val="32"/>
          <w:szCs w:val="32"/>
        </w:rPr>
        <w:t>分析评价。根据实际支出情况对比年初预算，综合分析绩效完成情况，认真审核并评价202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年度预算执行情况。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三、综合评价情况及评价结论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从我单位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业务</w:t>
      </w:r>
      <w:r>
        <w:rPr>
          <w:rFonts w:hint="eastAsia" w:ascii="仿宋_GB2312" w:hAnsi="Calibri" w:eastAsia="仿宋_GB2312" w:cs="Times New Roman"/>
          <w:sz w:val="32"/>
          <w:szCs w:val="32"/>
        </w:rPr>
        <w:t>经费项目202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年度预算执行情况来看，各项指标绩效目标基本完成。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四、绩效评价指标分析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（一）项目决策情况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资金使用部门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负责人根据上一年度项目执行情况，组织商议项目金额、支出经济科目，最终得出项目总金额及其项下具体经济科目。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Times New Roman"/>
          <w:sz w:val="32"/>
          <w:szCs w:val="32"/>
        </w:rPr>
        <w:t>项目过程情况</w:t>
      </w:r>
    </w:p>
    <w:p>
      <w:pPr>
        <w:numPr>
          <w:numId w:val="0"/>
        </w:numPr>
        <w:spacing w:line="600" w:lineRule="exact"/>
        <w:ind w:leftChars="200"/>
        <w:rPr>
          <w:rFonts w:hint="default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正常执行。</w:t>
      </w:r>
    </w:p>
    <w:p>
      <w:pPr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项目产出情况</w:t>
      </w:r>
    </w:p>
    <w:p>
      <w:pPr>
        <w:numPr>
          <w:numId w:val="0"/>
        </w:numPr>
        <w:spacing w:line="60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1.数量指标分析。2021年度区政务中心部门进驻率100%，一窗受理率95%。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2.质量指标分析。2021年度政务服务事项网上办理率100%。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3.时效指标分析。</w:t>
      </w:r>
      <w:r>
        <w:rPr>
          <w:rFonts w:hint="eastAsia" w:ascii="仿宋_GB2312" w:hAnsi="Calibri" w:eastAsia="仿宋_GB2312" w:cs="Times New Roman"/>
          <w:sz w:val="32"/>
          <w:szCs w:val="32"/>
        </w:rPr>
        <w:t>截至202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年12月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底前</w:t>
      </w:r>
      <w:r>
        <w:rPr>
          <w:rFonts w:hint="eastAsia" w:ascii="仿宋_GB2312" w:hAnsi="Calibri" w:eastAsia="仿宋_GB2312" w:cs="Times New Roman"/>
          <w:sz w:val="32"/>
          <w:szCs w:val="32"/>
        </w:rPr>
        <w:t>圆满完成。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4.成本指标分析。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我单位业务</w:t>
      </w:r>
      <w:r>
        <w:rPr>
          <w:rFonts w:hint="eastAsia" w:ascii="仿宋_GB2312" w:hAnsi="Calibri" w:eastAsia="仿宋_GB2312" w:cs="Times New Roman"/>
          <w:sz w:val="32"/>
          <w:szCs w:val="32"/>
        </w:rPr>
        <w:t>经费项目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（实际指标下达为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15.47万元）</w:t>
      </w:r>
      <w:r>
        <w:rPr>
          <w:rFonts w:hint="eastAsia" w:ascii="仿宋_GB2312" w:hAnsi="Calibri" w:eastAsia="仿宋_GB2312" w:cs="Times New Roman"/>
          <w:sz w:val="32"/>
          <w:szCs w:val="32"/>
        </w:rPr>
        <w:t>实际执行支出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12.36</w:t>
      </w:r>
      <w:r>
        <w:rPr>
          <w:rFonts w:hint="eastAsia" w:ascii="仿宋_GB2312" w:hAnsi="Calibri" w:eastAsia="仿宋_GB2312" w:cs="Times New Roman"/>
          <w:sz w:val="32"/>
          <w:szCs w:val="32"/>
        </w:rPr>
        <w:t>万元，执行率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69</w:t>
      </w:r>
      <w:r>
        <w:rPr>
          <w:rFonts w:hint="eastAsia" w:ascii="仿宋_GB2312" w:hAnsi="Calibri" w:eastAsia="仿宋_GB2312" w:cs="Times New Roman"/>
          <w:sz w:val="32"/>
          <w:szCs w:val="32"/>
        </w:rPr>
        <w:t>%。我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仿宋_GB2312" w:hAnsi="Calibri" w:eastAsia="仿宋_GB2312" w:cs="Times New Roman"/>
          <w:sz w:val="32"/>
          <w:szCs w:val="32"/>
        </w:rPr>
        <w:t>严格依照财政相关规定按需列支，该项任务完成度已基本达到预期，共节约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5.64</w:t>
      </w:r>
      <w:r>
        <w:rPr>
          <w:rFonts w:hint="eastAsia" w:ascii="仿宋_GB2312" w:hAnsi="Calibri" w:eastAsia="仿宋_GB2312" w:cs="Times New Roman"/>
          <w:sz w:val="32"/>
          <w:szCs w:val="32"/>
        </w:rPr>
        <w:t>万元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（实际节约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3.11万元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（四）项目效益情况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社会效益指标分析。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2021年度区政务中心运行情况良好，一服务两公开等各项工作顺利完成。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（五）满意度指标完成情况</w:t>
      </w:r>
    </w:p>
    <w:p>
      <w:pPr>
        <w:spacing w:line="600" w:lineRule="exact"/>
        <w:ind w:firstLine="640" w:firstLineChars="20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通过广西数字政务一体化平台数据反馈，2021年度群众对政务服务窗口部门工作满意度达95%以上。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主要经验及做法、存在的问题及原因分析</w:t>
      </w:r>
    </w:p>
    <w:p>
      <w:pPr>
        <w:numPr>
          <w:numId w:val="0"/>
        </w:num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存在问题：项目实际执行金额与项目预算总数存在一定偏差。</w:t>
      </w:r>
    </w:p>
    <w:p>
      <w:pPr>
        <w:numPr>
          <w:ilvl w:val="0"/>
          <w:numId w:val="0"/>
        </w:numPr>
        <w:spacing w:line="600" w:lineRule="exact"/>
        <w:ind w:firstLine="640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原因分析：1.实际下达指标为15.47万；2.疫情影响培训、出差减少，开支缩减；3.本单位为新成立预算单位，预算支出效率有待提高。</w:t>
      </w:r>
      <w:bookmarkStart w:id="0" w:name="_GoBack"/>
      <w:bookmarkEnd w:id="0"/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有关建议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无</w:t>
      </w:r>
    </w:p>
    <w:p>
      <w:pPr>
        <w:spacing w:line="60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七、其他需要说明的问题</w:t>
      </w:r>
    </w:p>
    <w:p>
      <w:pPr>
        <w:spacing w:line="60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无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32"/>
        <w:szCs w:val="32"/>
      </w:rPr>
    </w:pPr>
    <w:r>
      <w:rPr>
        <w:rFonts w:ascii="宋体" w:hAnsi="宋体"/>
        <w:sz w:val="32"/>
        <w:szCs w:val="32"/>
      </w:rPr>
      <w:fldChar w:fldCharType="begin"/>
    </w:r>
    <w:r>
      <w:rPr>
        <w:rFonts w:ascii="宋体" w:hAnsi="宋体"/>
        <w:sz w:val="32"/>
        <w:szCs w:val="32"/>
      </w:rPr>
      <w:instrText xml:space="preserve"> PAGE   \* MERGEFORMAT </w:instrText>
    </w:r>
    <w:r>
      <w:rPr>
        <w:rFonts w:ascii="宋体" w:hAnsi="宋体"/>
        <w:sz w:val="32"/>
        <w:szCs w:val="32"/>
      </w:rPr>
      <w:fldChar w:fldCharType="separate"/>
    </w:r>
    <w:r>
      <w:rPr>
        <w:rFonts w:ascii="宋体" w:hAnsi="宋体"/>
        <w:sz w:val="32"/>
        <w:szCs w:val="32"/>
        <w:lang w:val="zh-CN"/>
      </w:rPr>
      <w:t>-</w:t>
    </w:r>
    <w:r>
      <w:rPr>
        <w:rFonts w:ascii="宋体" w:hAnsi="宋体"/>
        <w:sz w:val="32"/>
        <w:szCs w:val="32"/>
      </w:rPr>
      <w:t xml:space="preserve"> 19 -</w:t>
    </w:r>
    <w:r>
      <w:rPr>
        <w:rFonts w:ascii="宋体" w:hAnsi="宋体"/>
        <w:sz w:val="32"/>
        <w:szCs w:val="32"/>
      </w:rPr>
      <w:fldChar w:fldCharType="end"/>
    </w:r>
  </w:p>
  <w:p>
    <w:pPr>
      <w:pStyle w:val="2"/>
      <w:rPr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D3D7C"/>
    <w:multiLevelType w:val="singleLevel"/>
    <w:tmpl w:val="867D3D7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18A919A"/>
    <w:multiLevelType w:val="singleLevel"/>
    <w:tmpl w:val="A18A91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M2EyM2NhYTU0NTU5ZGE4MDA4ODhmZGY2NmZhODgifQ=="/>
  </w:docVars>
  <w:rsids>
    <w:rsidRoot w:val="04DD096E"/>
    <w:rsid w:val="04DD096E"/>
    <w:rsid w:val="065B4CFA"/>
    <w:rsid w:val="235F7B8E"/>
    <w:rsid w:val="265E2CFF"/>
    <w:rsid w:val="31AC5925"/>
    <w:rsid w:val="36BD1D48"/>
    <w:rsid w:val="3A097A70"/>
    <w:rsid w:val="3CF80E4D"/>
    <w:rsid w:val="3F723AFC"/>
    <w:rsid w:val="43B471CD"/>
    <w:rsid w:val="4456696C"/>
    <w:rsid w:val="48C71163"/>
    <w:rsid w:val="51BC70DB"/>
    <w:rsid w:val="55766056"/>
    <w:rsid w:val="5CA86B02"/>
    <w:rsid w:val="5E6526B6"/>
    <w:rsid w:val="6F9003FD"/>
    <w:rsid w:val="7CD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1065</Words>
  <Characters>1142</Characters>
  <Lines>0</Lines>
  <Paragraphs>0</Paragraphs>
  <TotalTime>4</TotalTime>
  <ScaleCrop>false</ScaleCrop>
  <LinksUpToDate>false</LinksUpToDate>
  <CharactersWithSpaces>1149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2022-04-14T02:44:00Z</dcterms:created>
  <dc:creator>Administrator</dc:creator>
  <cp:lastModifiedBy>Administrator</cp:lastModifiedBy>
  <dcterms:modified xsi:type="dcterms:W3CDTF">2022-06-20T08:24:34Z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16BEC6A4CACC435AADAF5044B7DC759A</vt:lpwstr>
  </property>
</Properties>
</file>